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6C" w:rsidRDefault="001C456C" w:rsidP="001C456C">
      <w:pPr>
        <w:pStyle w:val="1"/>
        <w:rPr>
          <w:shd w:val="clear" w:color="auto" w:fill="FFFFFF"/>
        </w:rPr>
      </w:pPr>
      <w:bookmarkStart w:id="0" w:name="_GoBack"/>
      <w:r>
        <w:rPr>
          <w:shd w:val="clear" w:color="auto" w:fill="FFFFFF"/>
        </w:rPr>
        <w:t xml:space="preserve">16. </w:t>
      </w:r>
      <w:r w:rsidRPr="001C456C">
        <w:rPr>
          <w:shd w:val="clear" w:color="auto" w:fill="FFFFFF"/>
        </w:rPr>
        <w:t>Плата за жилое помещение и коммунальные услуги. Охрана жилищных прав и защита их в суде.</w:t>
      </w:r>
      <w:r>
        <w:rPr>
          <w:shd w:val="clear" w:color="auto" w:fill="FFFFFF"/>
        </w:rPr>
        <w:t xml:space="preserve"> </w:t>
      </w:r>
      <w:r w:rsidRPr="001C456C">
        <w:rPr>
          <w:shd w:val="clear" w:color="auto" w:fill="FFFFFF"/>
        </w:rPr>
        <w:t>Решение ситуационных правовых задач</w:t>
      </w:r>
      <w:bookmarkEnd w:id="0"/>
      <w:r w:rsidRPr="001C456C">
        <w:rPr>
          <w:shd w:val="clear" w:color="auto" w:fill="FFFFFF"/>
        </w:rPr>
        <w:t>.</w:t>
      </w:r>
    </w:p>
    <w:p w:rsidR="00E42F69" w:rsidRPr="008D1810" w:rsidRDefault="00E42F69" w:rsidP="00A17C75">
      <w:pPr>
        <w:pStyle w:val="a9"/>
      </w:pPr>
      <w:r w:rsidRPr="008D1810">
        <w:t>Граждане и организации обязаны своевременно и полностью вносить плату за жилое помещение и коммунальные услуги (ч. 1 ст. 153 ГК РФ).</w:t>
      </w:r>
    </w:p>
    <w:p w:rsidR="00E42F69" w:rsidRPr="008D1810" w:rsidRDefault="00E42F69" w:rsidP="00A17C75">
      <w:pPr>
        <w:pStyle w:val="a9"/>
      </w:pPr>
      <w:r w:rsidRPr="008D1810">
        <w:rPr>
          <w:b/>
          <w:bCs/>
        </w:rPr>
        <w:t>Обязанность по внесению платы за жилое помещение и коммунальные услуги возникает у:</w:t>
      </w:r>
    </w:p>
    <w:p w:rsidR="00E42F69" w:rsidRPr="008D1810" w:rsidRDefault="00E42F69" w:rsidP="00A17C75">
      <w:pPr>
        <w:pStyle w:val="a9"/>
      </w:pPr>
      <w:r w:rsidRPr="008D1810">
        <w:t>1) нанимателя жилого помещения по договору социального найма с момента заключения такого договора;</w:t>
      </w:r>
    </w:p>
    <w:p w:rsidR="00E42F69" w:rsidRPr="008D1810" w:rsidRDefault="00E42F69" w:rsidP="00A17C75">
      <w:pPr>
        <w:pStyle w:val="a9"/>
      </w:pPr>
      <w:r w:rsidRPr="008D1810">
        <w:t>2) арендатора жилого помещения государственного или муниципального жилищного фонда с момента заключения соответствующего договора аренды;</w:t>
      </w:r>
    </w:p>
    <w:p w:rsidR="00E42F69" w:rsidRPr="008D1810" w:rsidRDefault="00E42F69" w:rsidP="00A17C75">
      <w:pPr>
        <w:pStyle w:val="a9"/>
      </w:pPr>
      <w:r w:rsidRPr="008D1810">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42F69" w:rsidRPr="008D1810" w:rsidRDefault="00E42F69" w:rsidP="00A17C75">
      <w:pPr>
        <w:pStyle w:val="a9"/>
      </w:pPr>
      <w:r w:rsidRPr="008D1810">
        <w:t>4) члена жилищного кооператива с момента предоставления жилого помещения жилищным кооперативом;</w:t>
      </w:r>
    </w:p>
    <w:p w:rsidR="00E42F69" w:rsidRPr="008D1810" w:rsidRDefault="00E42F69" w:rsidP="00A17C75">
      <w:pPr>
        <w:pStyle w:val="a9"/>
      </w:pPr>
      <w:r w:rsidRPr="008D1810">
        <w:t>5) собственника жилого помещения с момента возникновения права собственности на жилое помещение (ч. 2 ст. 153 ГК РФ).</w:t>
      </w:r>
    </w:p>
    <w:p w:rsidR="00E42F69" w:rsidRPr="008D1810" w:rsidRDefault="00E42F69" w:rsidP="00A17C75">
      <w:pPr>
        <w:pStyle w:val="a9"/>
      </w:pPr>
      <w:r w:rsidRPr="008D1810">
        <w:t xml:space="preserve">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8D1810">
        <w:t>управомоченные</w:t>
      </w:r>
      <w:proofErr w:type="spellEnd"/>
      <w:r w:rsidRPr="008D1810">
        <w:t xml:space="preserve"> ими лица (ч. 3 ст. 153 ГК РФ).</w:t>
      </w:r>
    </w:p>
    <w:p w:rsidR="00E42F69" w:rsidRPr="008D1810" w:rsidRDefault="00E42F69" w:rsidP="00A17C75">
      <w:pPr>
        <w:pStyle w:val="a9"/>
      </w:pPr>
      <w:r w:rsidRPr="008D1810">
        <w:rPr>
          <w:b/>
          <w:bCs/>
        </w:rPr>
        <w:t>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42F69" w:rsidRPr="008D1810" w:rsidRDefault="00E42F69" w:rsidP="00A17C75">
      <w:pPr>
        <w:pStyle w:val="a9"/>
      </w:pPr>
      <w:r w:rsidRPr="008D1810">
        <w:t>1) плату за пользование жилым помещением (плату за наем);</w:t>
      </w:r>
    </w:p>
    <w:p w:rsidR="00E42F69" w:rsidRPr="008D1810" w:rsidRDefault="00E42F69" w:rsidP="00A17C75">
      <w:pPr>
        <w:pStyle w:val="a9"/>
      </w:pPr>
      <w:r w:rsidRPr="008D1810">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 3) плату за коммунальные услуги (ч. 1 ст. 154 ЖК РФ).</w:t>
      </w:r>
    </w:p>
    <w:p w:rsidR="00E42F69" w:rsidRPr="008D1810" w:rsidRDefault="00E42F69" w:rsidP="00A17C75">
      <w:pPr>
        <w:pStyle w:val="a9"/>
      </w:pPr>
      <w:r w:rsidRPr="008D1810">
        <w:rPr>
          <w:b/>
          <w:bCs/>
        </w:rPr>
        <w:t>Плата за жилое помещение и коммунальные услуги для собственника помещения в многоквартирном доме включает в себя:</w:t>
      </w:r>
    </w:p>
    <w:p w:rsidR="00E42F69" w:rsidRPr="008D1810" w:rsidRDefault="00E42F69" w:rsidP="00A17C75">
      <w:pPr>
        <w:pStyle w:val="a9"/>
      </w:pPr>
      <w:r w:rsidRPr="008D1810">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E42F69" w:rsidRPr="008D1810" w:rsidRDefault="00E42F69" w:rsidP="00A17C75">
      <w:pPr>
        <w:pStyle w:val="a9"/>
      </w:pPr>
      <w:r w:rsidRPr="008D1810">
        <w:lastRenderedPageBreak/>
        <w:t>2) плату за коммунальные услуги (ч. 2 ст. 154 ЖК РФ).</w:t>
      </w:r>
    </w:p>
    <w:p w:rsidR="00E42F69" w:rsidRPr="008D1810" w:rsidRDefault="00E42F69" w:rsidP="00A17C75">
      <w:pPr>
        <w:pStyle w:val="a9"/>
      </w:pPr>
      <w:r w:rsidRPr="008D1810">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(ч. 3 ст. 154 ЖК РФ).</w:t>
      </w:r>
    </w:p>
    <w:p w:rsidR="00E42F69" w:rsidRPr="008D1810" w:rsidRDefault="00E42F69" w:rsidP="00A17C75">
      <w:pPr>
        <w:pStyle w:val="a9"/>
      </w:pPr>
      <w:r w:rsidRPr="008D1810">
        <w:t>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(ч. 4 ст. 154 ЖК РФ).</w:t>
      </w:r>
    </w:p>
    <w:p w:rsidR="00E42F69" w:rsidRPr="008D1810" w:rsidRDefault="00E42F69" w:rsidP="00A17C75">
      <w:pPr>
        <w:pStyle w:val="a9"/>
      </w:pPr>
      <w:r w:rsidRPr="008D1810">
        <w:t>Плата за жилое помещение и коммунальные услуги вносится ежемесячно до 10-го числа месяца, следующего за истекшим месяцем, если иной срок не установлен договором управления многоквартирным домом. Плата за жилое помещение и коммунальные услуги вносится на основании платежных документов, представленных не позднее 1-го числа месяца, следующего за истекшим месяцем, если иной срок не установлен договором управления многоквартирным домом (ст. 155 ЖК РФ).</w:t>
      </w:r>
    </w:p>
    <w:p w:rsidR="00E42F69" w:rsidRPr="008D1810" w:rsidRDefault="00E42F69" w:rsidP="00A17C75">
      <w:pPr>
        <w:pStyle w:val="a9"/>
      </w:pPr>
      <w:r w:rsidRPr="008D1810">
        <w:t xml:space="preserve">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8D1810">
        <w:t>наймодателю</w:t>
      </w:r>
      <w:proofErr w:type="spellEnd"/>
      <w:r w:rsidRPr="008D1810">
        <w:t xml:space="preserve"> этого жилого помещения (ч. 3 ст. 155 ЖК РФ).</w:t>
      </w:r>
    </w:p>
    <w:p w:rsidR="00E42F69" w:rsidRPr="008D1810" w:rsidRDefault="00E42F69" w:rsidP="00A17C75">
      <w:pPr>
        <w:pStyle w:val="a9"/>
      </w:pPr>
      <w:r w:rsidRPr="008D1810">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8D1810">
        <w:t>наймодателем</w:t>
      </w:r>
      <w:proofErr w:type="spellEnd"/>
      <w:r w:rsidRPr="008D1810">
        <w:t xml:space="preserve"> этого жилого помещения в согласованном с управляющей организацией порядке (ч. 4 ст. 155 ЖК РФ).</w:t>
      </w:r>
    </w:p>
    <w:p w:rsidR="00E42F69" w:rsidRPr="008D1810" w:rsidRDefault="00E42F69" w:rsidP="00A17C75">
      <w:pPr>
        <w:pStyle w:val="a9"/>
      </w:pPr>
      <w:proofErr w:type="gramStart"/>
      <w:r w:rsidRPr="008D1810">
        <w:t>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w:t>
      </w:r>
      <w:proofErr w:type="gramEnd"/>
      <w:r w:rsidRPr="008D1810">
        <w:t xml:space="preserve"> товарищества собственников жилья, органами управления жилищного кооператива или органами управления иного специализированного потребительского кооператива (ч. 5 ст. 155 ЖК РФ).</w:t>
      </w:r>
    </w:p>
    <w:p w:rsidR="00E42F69" w:rsidRPr="008D1810" w:rsidRDefault="00E42F69" w:rsidP="00A17C75">
      <w:pPr>
        <w:pStyle w:val="a9"/>
      </w:pPr>
      <w:proofErr w:type="gramStart"/>
      <w:r w:rsidRPr="008D1810">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жилищным кооперативом или иным специализированным потребительским кооперативом (ч. 6 ст. 155</w:t>
      </w:r>
      <w:proofErr w:type="gramEnd"/>
      <w:r w:rsidRPr="008D1810">
        <w:t xml:space="preserve"> </w:t>
      </w:r>
      <w:proofErr w:type="gramStart"/>
      <w:r w:rsidRPr="008D1810">
        <w:t>ЖК РФ).</w:t>
      </w:r>
      <w:proofErr w:type="gramEnd"/>
    </w:p>
    <w:p w:rsidR="00E42F69" w:rsidRPr="008D1810" w:rsidRDefault="00E42F69" w:rsidP="00A17C75">
      <w:pPr>
        <w:pStyle w:val="a9"/>
      </w:pPr>
      <w:r w:rsidRPr="008D1810">
        <w:lastRenderedPageBreak/>
        <w:t>Собственники помещений в многоквартирном доме, в котором не созданы товарищество собственников жилья,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(ч. 7 ст. 155 ЖК РФ).</w:t>
      </w:r>
    </w:p>
    <w:p w:rsidR="00E42F69" w:rsidRPr="008D1810" w:rsidRDefault="00E42F69" w:rsidP="00A17C75">
      <w:pPr>
        <w:pStyle w:val="a9"/>
      </w:pPr>
      <w:r w:rsidRPr="008D1810">
        <w:t>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 (ч. 8 ст. 155 ЖК РФ).</w:t>
      </w:r>
    </w:p>
    <w:p w:rsidR="00E42F69" w:rsidRPr="008D1810" w:rsidRDefault="00E42F69" w:rsidP="00A17C75">
      <w:pPr>
        <w:pStyle w:val="a9"/>
      </w:pPr>
      <w:r w:rsidRPr="008D1810">
        <w:t>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 (ч. 9 ст. 155 ЖК РФ).</w:t>
      </w:r>
    </w:p>
    <w:p w:rsidR="00E42F69" w:rsidRPr="008D1810" w:rsidRDefault="00E42F69" w:rsidP="00A17C75">
      <w:pPr>
        <w:pStyle w:val="a9"/>
      </w:pPr>
      <w:r w:rsidRPr="008D1810">
        <w:t>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 (ч. 10 ст. 155 ЖК РФ).</w:t>
      </w:r>
    </w:p>
    <w:p w:rsidR="00E42F69" w:rsidRPr="008D1810" w:rsidRDefault="00E42F69" w:rsidP="00A17C75">
      <w:pPr>
        <w:pStyle w:val="a9"/>
      </w:pPr>
      <w:r w:rsidRPr="008D1810">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РФ (ч. 11 ст. 155 ЖК РФ).</w:t>
      </w:r>
    </w:p>
    <w:p w:rsidR="00E42F69" w:rsidRPr="008D1810" w:rsidRDefault="00E42F69" w:rsidP="00A17C75">
      <w:pPr>
        <w:pStyle w:val="a9"/>
      </w:pPr>
      <w:r w:rsidRPr="008D1810">
        <w:t xml:space="preserve">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8D1810">
        <w:t>наймодателем</w:t>
      </w:r>
      <w:proofErr w:type="spellEnd"/>
      <w:r w:rsidRPr="008D1810">
        <w:t>, заключенным на срок проживания временных жильцов (ч. 12 ст. 155 ЖК РФ).</w:t>
      </w:r>
    </w:p>
    <w:p w:rsidR="00E42F69" w:rsidRPr="008D1810" w:rsidRDefault="00E42F69" w:rsidP="00A17C75">
      <w:pPr>
        <w:pStyle w:val="a9"/>
      </w:pPr>
      <w:proofErr w:type="spellStart"/>
      <w:r w:rsidRPr="008D1810">
        <w:t>Наймодатель</w:t>
      </w:r>
      <w:proofErr w:type="spellEnd"/>
      <w:r w:rsidRPr="008D1810">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sidRPr="008D1810">
        <w:t>позднее</w:t>
      </w:r>
      <w:proofErr w:type="gramEnd"/>
      <w:r w:rsidRPr="008D1810">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 (ч. 13 ст. 155 ЖК РФ).</w:t>
      </w:r>
    </w:p>
    <w:p w:rsidR="00E42F69" w:rsidRPr="008D1810" w:rsidRDefault="00E42F69" w:rsidP="00A17C75">
      <w:pPr>
        <w:pStyle w:val="a9"/>
      </w:pPr>
      <w:proofErr w:type="gramStart"/>
      <w:r w:rsidRPr="008D1810">
        <w:t>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r w:rsidRPr="008D1810">
        <w:t xml:space="preserve"> Увеличение установленного в настоящей части размера пеней не допускается (ч. 14 ст. 155 ЖК РФ).</w:t>
      </w:r>
    </w:p>
    <w:p w:rsidR="00E42F69" w:rsidRPr="008D1810" w:rsidRDefault="00E42F69" w:rsidP="00A17C75">
      <w:pPr>
        <w:pStyle w:val="a9"/>
      </w:pPr>
      <w:r w:rsidRPr="008D1810">
        <w:t>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(ст. 156 ЖК РФ).</w:t>
      </w:r>
    </w:p>
    <w:p w:rsidR="00E42F69" w:rsidRPr="008D1810" w:rsidRDefault="00E42F69" w:rsidP="00A17C75">
      <w:pPr>
        <w:pStyle w:val="a9"/>
      </w:pPr>
      <w:proofErr w:type="gramStart"/>
      <w:r w:rsidRPr="008D1810">
        <w:lastRenderedPageBreak/>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 исходя из площади этих комнат) жилого помещения (ч. 2 ст. 156 ЖК РФ).</w:t>
      </w:r>
      <w:proofErr w:type="gramEnd"/>
    </w:p>
    <w:p w:rsidR="00E42F69" w:rsidRPr="008D1810" w:rsidRDefault="00E42F69" w:rsidP="00A17C75">
      <w:pPr>
        <w:pStyle w:val="a9"/>
      </w:pPr>
      <w:proofErr w:type="gramStart"/>
      <w:r w:rsidRPr="008D1810">
        <w:t>Размеры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w:t>
      </w:r>
      <w:proofErr w:type="gramEnd"/>
      <w:r w:rsidRPr="008D1810">
        <w:t xml:space="preserve"> самоуправления (в субъектах РФ – городах федерального значения Москве и Санкт-Петербурге – органом государственной власти соответствующего субъекта РФ) (ч. 3 ст. 156 ЖК РФ).</w:t>
      </w:r>
    </w:p>
    <w:p w:rsidR="00E42F69" w:rsidRPr="008D1810" w:rsidRDefault="00E42F69" w:rsidP="00A17C75">
      <w:pPr>
        <w:pStyle w:val="a9"/>
      </w:pPr>
      <w:r w:rsidRPr="008D1810">
        <w:t>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(ч. 4 ст. 156 ЖК РФ).</w:t>
      </w:r>
    </w:p>
    <w:p w:rsidR="00E42F69" w:rsidRPr="008D1810" w:rsidRDefault="00E42F69" w:rsidP="00A17C75">
      <w:pPr>
        <w:pStyle w:val="a9"/>
      </w:pPr>
      <w:r w:rsidRPr="008D1810">
        <w:t xml:space="preserve">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rsidRPr="008D1810">
        <w:t>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 (ч. 5 ст. 156 ЖК РФ).</w:t>
      </w:r>
      <w:proofErr w:type="gramEnd"/>
    </w:p>
    <w:p w:rsidR="00E42F69" w:rsidRPr="008D1810" w:rsidRDefault="00E42F69" w:rsidP="00A17C75">
      <w:pPr>
        <w:pStyle w:val="a9"/>
      </w:pPr>
      <w:proofErr w:type="gramStart"/>
      <w:r w:rsidRPr="008D1810">
        <w:t>Размер обязательных платежей и (или) взносов членов товарищества собственников жилья,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уставом жилищного кооператива или уставом иного</w:t>
      </w:r>
      <w:proofErr w:type="gramEnd"/>
      <w:r w:rsidRPr="008D1810">
        <w:t xml:space="preserve"> специализированного потребительского кооператива (ч. 8 ст. 156 ЖК РФ).</w:t>
      </w:r>
    </w:p>
    <w:p w:rsidR="00E42F69" w:rsidRPr="008D1810" w:rsidRDefault="00E42F69" w:rsidP="00A17C75">
      <w:pPr>
        <w:pStyle w:val="a9"/>
      </w:pPr>
      <w:proofErr w:type="gramStart"/>
      <w:r w:rsidRPr="008D1810">
        <w:t>Граждане, признанные в установленном ЖК РФ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 (ч. 9 ст. 156 ЖК РФ).</w:t>
      </w:r>
      <w:proofErr w:type="gramEnd"/>
    </w:p>
    <w:p w:rsidR="00E42F69" w:rsidRPr="008D1810" w:rsidRDefault="00E42F69" w:rsidP="00A17C75">
      <w:pPr>
        <w:pStyle w:val="a9"/>
      </w:pPr>
      <w:r w:rsidRPr="008D1810">
        <w:t>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РФ (ч. 10 ст. 156 ЖК РФ).</w:t>
      </w:r>
    </w:p>
    <w:p w:rsidR="00E42F69" w:rsidRPr="008D1810" w:rsidRDefault="00E42F69" w:rsidP="00A17C75">
      <w:pPr>
        <w:pStyle w:val="a9"/>
      </w:pPr>
      <w:proofErr w:type="gramStart"/>
      <w:r w:rsidRPr="008D1810">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w:t>
      </w:r>
      <w:r w:rsidRPr="008D1810">
        <w:lastRenderedPageBreak/>
        <w:t>местного самоуправления (в субъектах РФ – городах федерального значения Москве и Санкт-Петербурге – органом государственной власти соответствующего субъекта РФ), за исключением нормативов потребления коммунальных услуг по электроснабжению и газоснабжению, утверждаемых органами государственной власти</w:t>
      </w:r>
      <w:proofErr w:type="gramEnd"/>
      <w:r w:rsidRPr="008D1810">
        <w:t xml:space="preserve"> субъектов РФ в порядке, установленном Правительством РФ. Правила предоставления коммунальных услуг гражданам устанавливаются Правительством РФ (ч. 1 ст. 157 ЖК РФ).</w:t>
      </w:r>
    </w:p>
    <w:p w:rsidR="00E42F69" w:rsidRPr="008D1810" w:rsidRDefault="00E42F69" w:rsidP="00A17C75">
      <w:pPr>
        <w:pStyle w:val="a9"/>
      </w:pPr>
      <w:proofErr w:type="gramStart"/>
      <w:r w:rsidRPr="008D1810">
        <w:t>Размер платы за коммунальные услуги, предусмотренные ч. 4 ст. 154 ЖК РФ, рассчитывается по тарифам, установленным органами государственной власти субъектов РФ, органами местного самоуправления (в субъектах РФ – городах федерального значения Москве и Санкт-Петербурге – органом государственной власти соответствующего субъекта РФ) в порядке, установленном федеральным законом (ч. 2 ст. 157 ЖК РФ).</w:t>
      </w:r>
      <w:proofErr w:type="gramEnd"/>
    </w:p>
    <w:p w:rsidR="00E42F69" w:rsidRPr="008D1810" w:rsidRDefault="00E42F69" w:rsidP="00A17C75">
      <w:pPr>
        <w:pStyle w:val="a9"/>
      </w:pPr>
      <w:r w:rsidRPr="008D1810">
        <w:t>Изменение формы собственности на жилое помещение, оснований пользования жилым помещением, образование или ликвидация товарищества собственников жилья,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 (ч. 3 ст. 157 ЖК РФ).</w:t>
      </w:r>
    </w:p>
    <w:p w:rsidR="00E42F69" w:rsidRPr="008D1810" w:rsidRDefault="00E42F69" w:rsidP="00A17C75">
      <w:pPr>
        <w:pStyle w:val="a9"/>
      </w:pPr>
      <w:r w:rsidRPr="008D1810">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РФ (ч. 4 ст. 157 ЖК РФ).</w:t>
      </w:r>
    </w:p>
    <w:p w:rsidR="00E42F69" w:rsidRPr="008D1810" w:rsidRDefault="00E42F69" w:rsidP="00A17C75">
      <w:pPr>
        <w:pStyle w:val="a9"/>
      </w:pPr>
      <w:r w:rsidRPr="008D1810">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(ч. 1 ст. 158 ЖК РФ).</w:t>
      </w:r>
    </w:p>
    <w:p w:rsidR="00E42F69" w:rsidRPr="008D1810" w:rsidRDefault="00E42F69" w:rsidP="00A17C75">
      <w:pPr>
        <w:pStyle w:val="a9"/>
      </w:pPr>
      <w:proofErr w:type="gramStart"/>
      <w:r w:rsidRPr="008D1810">
        <w:t>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(ч. 2 ст. 158 ЖК РФ).</w:t>
      </w:r>
      <w:proofErr w:type="gramEnd"/>
    </w:p>
    <w:p w:rsidR="00E42F69" w:rsidRPr="008D1810" w:rsidRDefault="00E42F69" w:rsidP="00A17C75">
      <w:pPr>
        <w:pStyle w:val="a9"/>
      </w:pPr>
      <w:r w:rsidRPr="008D1810">
        <w:t xml:space="preserve">Обязанность по оплате расходов на капитальный ремонт многоквартирного дома распространяется </w:t>
      </w:r>
      <w:proofErr w:type="gramStart"/>
      <w:r w:rsidRPr="008D1810">
        <w:t>на всех собственников помещений в этом доме с момента возникновения права собственности на помещения в этом доме</w:t>
      </w:r>
      <w:proofErr w:type="gramEnd"/>
      <w:r w:rsidRPr="008D1810">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(ч. 3 ст. 158 ЖК РФ).</w:t>
      </w:r>
    </w:p>
    <w:p w:rsidR="00E42F69" w:rsidRPr="008D1810" w:rsidRDefault="00E42F69" w:rsidP="00A17C75">
      <w:pPr>
        <w:pStyle w:val="a9"/>
      </w:pPr>
      <w:r w:rsidRPr="008D1810">
        <w:t>Если собственники помещений в многоквартирном доме на их общем собрании не приняли решения об установлении размера платы за содержание и ремонт жилого помещения, такой размер устанавливается органом местного самоуправления (в субъектах РФ – городах федерального значения Москве и Санкт-Петербурге – органом государственной власти соответствующего субъекта РФ) (ч. 4 ст. 158 ЖК РФ).</w:t>
      </w:r>
    </w:p>
    <w:p w:rsidR="00E42F69" w:rsidRPr="008D1810" w:rsidRDefault="00E42F69" w:rsidP="00A17C75">
      <w:pPr>
        <w:pStyle w:val="a9"/>
      </w:pPr>
      <w:proofErr w:type="gramStart"/>
      <w:r w:rsidRPr="008D1810">
        <w:t xml:space="preserve">Субсидии на оплату жилого помещения и коммунальных услуг предоставляются гражданам в случае, если их расходы на оплату жилого помещения и коммунальных </w:t>
      </w:r>
      <w:r w:rsidRPr="008D1810">
        <w:lastRenderedPageBreak/>
        <w:t>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 6 ст. 159 ЖК РФ, превышают величину, соответствующую максимально допустимой доле расходов граждан</w:t>
      </w:r>
      <w:proofErr w:type="gramEnd"/>
      <w:r w:rsidRPr="008D1810">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РФ.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 (ч. 1 ст. 159 ЖК РФ).</w:t>
      </w:r>
    </w:p>
    <w:p w:rsidR="00E42F69" w:rsidRPr="008D1810" w:rsidRDefault="00E42F69" w:rsidP="00A17C75">
      <w:pPr>
        <w:pStyle w:val="a9"/>
      </w:pPr>
      <w:r w:rsidRPr="008D1810">
        <w:rPr>
          <w:b/>
          <w:bCs/>
        </w:rPr>
        <w:t>Право на субсидии имеют граждане:</w:t>
      </w:r>
    </w:p>
    <w:p w:rsidR="00E42F69" w:rsidRPr="008D1810" w:rsidRDefault="00E42F69" w:rsidP="00A17C75">
      <w:pPr>
        <w:pStyle w:val="a9"/>
      </w:pPr>
      <w:r w:rsidRPr="008D1810">
        <w:t>1) пользователи жилых помещений государственного и муниципального жилищных фондов;</w:t>
      </w:r>
    </w:p>
    <w:p w:rsidR="00E42F69" w:rsidRPr="008D1810" w:rsidRDefault="00E42F69" w:rsidP="00A17C75">
      <w:pPr>
        <w:pStyle w:val="a9"/>
      </w:pPr>
      <w:r w:rsidRPr="008D1810">
        <w:t>2) наниматели по договорам найма жилых помещений частного жилищного фонда;</w:t>
      </w:r>
    </w:p>
    <w:p w:rsidR="00E42F69" w:rsidRPr="008D1810" w:rsidRDefault="00E42F69" w:rsidP="00A17C75">
      <w:pPr>
        <w:pStyle w:val="a9"/>
      </w:pPr>
      <w:r w:rsidRPr="008D1810">
        <w:t>3) члены жилищных кооперативов;</w:t>
      </w:r>
    </w:p>
    <w:p w:rsidR="00E42F69" w:rsidRPr="008D1810" w:rsidRDefault="00E42F69" w:rsidP="00A17C75">
      <w:pPr>
        <w:pStyle w:val="a9"/>
      </w:pPr>
      <w:r w:rsidRPr="008D1810">
        <w:t>4) собственники жилых помещений (ч. 2 ст. 159 ЖК РФ).</w:t>
      </w:r>
    </w:p>
    <w:p w:rsidR="00E42F69" w:rsidRPr="008D1810" w:rsidRDefault="00E42F69" w:rsidP="00A17C75">
      <w:pPr>
        <w:pStyle w:val="a9"/>
      </w:pPr>
      <w:r w:rsidRPr="008D1810">
        <w:t>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 5 ст. 159 ЖК РФ).</w:t>
      </w:r>
    </w:p>
    <w:p w:rsidR="00E42F69" w:rsidRPr="008D1810" w:rsidRDefault="00E42F69" w:rsidP="00A17C75">
      <w:pPr>
        <w:pStyle w:val="a9"/>
      </w:pPr>
      <w:r w:rsidRPr="008D1810">
        <w:t xml:space="preserve">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proofErr w:type="gramStart"/>
      <w:r w:rsidRPr="008D1810">
        <w:t>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 (ч. 6 ст. 159 ЖК РФ).</w:t>
      </w:r>
      <w:proofErr w:type="gramEnd"/>
    </w:p>
    <w:p w:rsidR="00E42F69" w:rsidRPr="008D1810" w:rsidRDefault="00E42F69" w:rsidP="00A17C75">
      <w:pPr>
        <w:pStyle w:val="a9"/>
      </w:pPr>
      <w:r w:rsidRPr="008D1810">
        <w:t xml:space="preserve">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w:t>
      </w:r>
      <w:proofErr w:type="gramStart"/>
      <w:r w:rsidRPr="008D1810">
        <w:t>определения состава семьи получателя субсидии</w:t>
      </w:r>
      <w:proofErr w:type="gramEnd"/>
      <w:r w:rsidRPr="008D1810">
        <w:t xml:space="preserve">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РФ (ч. 7 ст. 159 ЖК РФ).</w:t>
      </w:r>
    </w:p>
    <w:p w:rsidR="00E42F69" w:rsidRPr="008D1810" w:rsidRDefault="00E42F69" w:rsidP="00A17C75">
      <w:pPr>
        <w:pStyle w:val="a9"/>
      </w:pPr>
      <w:r w:rsidRPr="008D1810">
        <w:t xml:space="preserve">Финансирование расходов на предоставление субсидий осуществляется из местных бюджетов за счет субвенций, предоставляемых местным бюджетам из бюджетов субъектов РФ, а для городов федерального значения Москвы и Санкт-Петербурга – из бюджетов данных субъектов РФ. Субъектам РФ на цели, указанные в ч. 8. ст. 159 ЖК РФ, </w:t>
      </w:r>
      <w:r w:rsidRPr="008D1810">
        <w:lastRenderedPageBreak/>
        <w:t>из федерального бюджета может передаваться финансовая помощь, рассчитанная исходя из федеральных стандартов, устанавливаемых Правительством РФ (ч. 8 ст. 159 ЖК РФ).</w:t>
      </w:r>
    </w:p>
    <w:p w:rsidR="00E42F69" w:rsidRPr="008D1810" w:rsidRDefault="00E42F69" w:rsidP="00A17C75">
      <w:pPr>
        <w:pStyle w:val="a9"/>
      </w:pPr>
      <w:r w:rsidRPr="008D1810">
        <w:t>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РФ (ч. 9 ст. 159 ЖК РФ).</w:t>
      </w:r>
    </w:p>
    <w:p w:rsidR="00E42F69" w:rsidRPr="008D1810" w:rsidRDefault="00E42F69" w:rsidP="00A17C75">
      <w:pPr>
        <w:pStyle w:val="a9"/>
      </w:pPr>
      <w:r w:rsidRPr="008D1810">
        <w:rPr>
          <w:b/>
          <w:bCs/>
        </w:rPr>
        <w:t>Размер субвенции из бюджета субъекта РФ рассчитывается исходя из статистической информации о распределении населения муниципального образования относительно уровней среднедушевых доходов и из региональных стандартов:</w:t>
      </w:r>
    </w:p>
    <w:p w:rsidR="00E42F69" w:rsidRPr="008D1810" w:rsidRDefault="00E42F69" w:rsidP="00A17C75">
      <w:pPr>
        <w:pStyle w:val="a9"/>
      </w:pPr>
      <w:r w:rsidRPr="008D1810">
        <w:t>1) нормативной площади жилого помещения, используемой для расчета субсидий;</w:t>
      </w:r>
    </w:p>
    <w:p w:rsidR="00E42F69" w:rsidRPr="008D1810" w:rsidRDefault="00E42F69" w:rsidP="00A17C75">
      <w:pPr>
        <w:pStyle w:val="a9"/>
      </w:pPr>
      <w:r w:rsidRPr="008D1810">
        <w:t>2) стоимости жилищно-коммунальных услуг, дифференцированной по муниципальным образованиям;</w:t>
      </w:r>
    </w:p>
    <w:p w:rsidR="00E42F69" w:rsidRPr="008D1810" w:rsidRDefault="00E42F69" w:rsidP="00A17C75">
      <w:pPr>
        <w:pStyle w:val="a9"/>
      </w:pPr>
      <w:r w:rsidRPr="008D1810">
        <w:t>3) максимально допустимой доли расходов граждан на оплату жилого помещения и коммунальных услуг в совокупном доходе семьи (ч. 10 ст. 159 ЖК РФ).</w:t>
      </w:r>
    </w:p>
    <w:p w:rsidR="00E42F69" w:rsidRPr="008D1810" w:rsidRDefault="00E42F69" w:rsidP="00A17C75">
      <w:pPr>
        <w:pStyle w:val="a9"/>
      </w:pPr>
      <w:r w:rsidRPr="008D1810">
        <w:t>Орган местного самоуправления при расчете субсидий вправе применять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 (ч. 11 ст. 159 ЖК РФ).</w:t>
      </w:r>
    </w:p>
    <w:p w:rsidR="00E42F69" w:rsidRPr="008D1810" w:rsidRDefault="00E42F69" w:rsidP="00A17C75">
      <w:pPr>
        <w:pStyle w:val="a9"/>
      </w:pPr>
      <w:r w:rsidRPr="008D1810">
        <w:t>Субсидии на оплату жилого помещения и коммунальных услуг не предоставляются иностранным гражданам, если международными договорами РФ не предусмотрено иное (ч. 11 ст. 159 ЖК РФ).</w:t>
      </w:r>
    </w:p>
    <w:p w:rsidR="00E42F69" w:rsidRPr="008D1810" w:rsidRDefault="00E42F69" w:rsidP="00A17C75">
      <w:pPr>
        <w:pStyle w:val="a9"/>
      </w:pPr>
      <w:r w:rsidRPr="008D1810">
        <w:t>Отдельным категориям граждан в порядке и на условиях, которые установлены федеральными законами, законами субъектов РФ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(ч. 1 ст. 160 ЖК РФ).</w:t>
      </w:r>
    </w:p>
    <w:p w:rsidR="00E42F69" w:rsidRPr="008D1810" w:rsidRDefault="00E42F69" w:rsidP="00A17C75">
      <w:pPr>
        <w:pStyle w:val="a9"/>
      </w:pPr>
      <w:r w:rsidRPr="008D1810">
        <w:t>Компенсации расходов на оплату жилых помещений и коммунальных услуг включаются в совокупный доход семьи при расчете субсидий (ч. 2 ст. 160 ЖК РФ).</w:t>
      </w:r>
    </w:p>
    <w:p w:rsidR="00E42F69" w:rsidRPr="00790AF3" w:rsidRDefault="00E42F69" w:rsidP="00790AF3">
      <w:pPr>
        <w:rPr>
          <w:b/>
        </w:rPr>
      </w:pPr>
      <w:r w:rsidRPr="00790AF3">
        <w:rPr>
          <w:b/>
        </w:rPr>
        <w:t>ЖИЛИЩНОЕ ЗАКОНОДАТЕЛЬСТВО РОССИИ</w:t>
      </w:r>
    </w:p>
    <w:p w:rsidR="00790AF3" w:rsidRDefault="00790AF3" w:rsidP="00790AF3">
      <w:pPr>
        <w:rPr>
          <w:b/>
        </w:rPr>
      </w:pPr>
    </w:p>
    <w:p w:rsidR="00E42F69" w:rsidRPr="00790AF3" w:rsidRDefault="00E42F69" w:rsidP="00790AF3">
      <w:pPr>
        <w:rPr>
          <w:b/>
        </w:rPr>
      </w:pPr>
      <w:r w:rsidRPr="00790AF3">
        <w:rPr>
          <w:b/>
        </w:rPr>
        <w:t>1.5. Защита жилищных прав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Государство, предоставляя определенные права гражданам, берёт на себя обязанность по защите этих прав. Защита – это деятельность, возникающая в случае наличия конкретного (совершённого) правонарушения, либо устранение такого состояния, которое реально приведёт к наступлению негативных последствий, а также направленная на восстановление нарушенного права. Когда возникает необходимость защиты, как правило, </w:t>
      </w:r>
      <w:r w:rsidRPr="008D1810">
        <w:rPr>
          <w:rFonts w:eastAsia="Times New Roman" w:cs="Times New Roman"/>
        </w:rPr>
        <w:lastRenderedPageBreak/>
        <w:t>уже присутствует правонарушитель и лицо, чьё право ограничено виновными действиями. Конституционный механизм защиты прав человека состоит из четырёх элементов: субъектов и объектов защиты, конституционно-правовых норм (оснований защиты) и процессуальных действий (формы защиты).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i/>
          <w:iCs/>
        </w:rPr>
        <w:t>Защита прав и свобод – </w:t>
      </w:r>
      <w:r w:rsidRPr="008D1810">
        <w:rPr>
          <w:rFonts w:eastAsia="Times New Roman" w:cs="Times New Roman"/>
        </w:rPr>
        <w:t xml:space="preserve">это совокупность мер, направленных на недопущение нарушений прав и свобод человека и гражданина, а также принудительный способ осуществления права, применяемый в установленном порядке компетентными органами, либо самим </w:t>
      </w:r>
      <w:proofErr w:type="spellStart"/>
      <w:r w:rsidRPr="008D1810">
        <w:rPr>
          <w:rFonts w:eastAsia="Times New Roman" w:cs="Times New Roman"/>
        </w:rPr>
        <w:t>управомоченным</w:t>
      </w:r>
      <w:proofErr w:type="spellEnd"/>
      <w:r w:rsidRPr="008D1810">
        <w:rPr>
          <w:rFonts w:eastAsia="Times New Roman" w:cs="Times New Roman"/>
        </w:rPr>
        <w:t xml:space="preserve"> лицом.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i/>
          <w:iCs/>
        </w:rPr>
        <w:t>Объектами защиты </w:t>
      </w:r>
      <w:r w:rsidRPr="008D1810">
        <w:rPr>
          <w:rFonts w:eastAsia="Times New Roman" w:cs="Times New Roman"/>
        </w:rPr>
        <w:t xml:space="preserve">являются права и свободы гражданина, а также их законные интересы. Причём это в первую очередь конституционные права и свободы, как наиболее важные и фундаментальные. Защищая указанные права, государство подтверждает их высшую ценность, </w:t>
      </w:r>
      <w:proofErr w:type="spellStart"/>
      <w:r w:rsidRPr="008D1810">
        <w:rPr>
          <w:rFonts w:eastAsia="Times New Roman" w:cs="Times New Roman"/>
        </w:rPr>
        <w:t>неотчуждаемость</w:t>
      </w:r>
      <w:proofErr w:type="spellEnd"/>
      <w:r w:rsidRPr="008D1810">
        <w:rPr>
          <w:rFonts w:eastAsia="Times New Roman" w:cs="Times New Roman"/>
        </w:rPr>
        <w:t xml:space="preserve"> и гарантированность. Анализ статей 2, 18, 45, 46 Конституции РФ и других позволяет сделать вывод, что при защите в первую очередь конституционный прав никоим образом не умаляют другие (не зафиксированные в Конституции РФ). Их защита вытекает из содержания основных прав и свобод и обязательна так же, как и основных.</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со статьёй 11 ЖК РФ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Защита жилищных прав в административном порядке осуществляется только в случаях, предусмотренных ЖК РФ, другими федеральными законами. Решение, принятое в административном порядке, может быть обжаловано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i/>
          <w:iCs/>
        </w:rPr>
        <w:t>Защита жилищных прав осуществляется путём: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признания жилищного права;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ЖК РФ или принятым в соответствии с ЖК РФ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Жилищному кодексу РФ или принятым в соответствии с ЖК РФ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5)  прекращения или изменения жилищного правоотношения;</w:t>
      </w:r>
    </w:p>
    <w:p w:rsidR="00E42F69" w:rsidRPr="008D1810" w:rsidRDefault="00E42F69" w:rsidP="001C456C">
      <w:pPr>
        <w:spacing w:before="100" w:beforeAutospacing="1" w:after="100" w:afterAutospacing="1"/>
        <w:rPr>
          <w:rFonts w:cs="Times New Roman"/>
        </w:rPr>
      </w:pPr>
      <w:r w:rsidRPr="008D1810">
        <w:rPr>
          <w:rFonts w:eastAsia="Times New Roman" w:cs="Times New Roman"/>
        </w:rPr>
        <w:t>6)  иными способами, предусмотренными жилищным кодексом РФ, другим федеральным законом.</w:t>
      </w:r>
    </w:p>
    <w:sectPr w:rsidR="00E42F69" w:rsidRPr="008D1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EF9"/>
    <w:multiLevelType w:val="multilevel"/>
    <w:tmpl w:val="248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27D8C"/>
    <w:multiLevelType w:val="multilevel"/>
    <w:tmpl w:val="84B4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E6FEB"/>
    <w:multiLevelType w:val="hybridMultilevel"/>
    <w:tmpl w:val="3364EFDA"/>
    <w:lvl w:ilvl="0" w:tplc="FFEA4A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16262B"/>
    <w:multiLevelType w:val="multilevel"/>
    <w:tmpl w:val="D2B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A7218"/>
    <w:multiLevelType w:val="multilevel"/>
    <w:tmpl w:val="BB0E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81318"/>
    <w:multiLevelType w:val="multilevel"/>
    <w:tmpl w:val="6B5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72A2C"/>
    <w:multiLevelType w:val="multilevel"/>
    <w:tmpl w:val="051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50E20"/>
    <w:multiLevelType w:val="multilevel"/>
    <w:tmpl w:val="223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24853"/>
    <w:multiLevelType w:val="multilevel"/>
    <w:tmpl w:val="C7E0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8777A"/>
    <w:multiLevelType w:val="multilevel"/>
    <w:tmpl w:val="C7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13F11"/>
    <w:multiLevelType w:val="multilevel"/>
    <w:tmpl w:val="5F7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B255B"/>
    <w:multiLevelType w:val="hybridMultilevel"/>
    <w:tmpl w:val="A140A480"/>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94640"/>
    <w:multiLevelType w:val="multilevel"/>
    <w:tmpl w:val="9D9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2C7253"/>
    <w:multiLevelType w:val="multilevel"/>
    <w:tmpl w:val="54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23E84"/>
    <w:multiLevelType w:val="multilevel"/>
    <w:tmpl w:val="39E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11A54"/>
    <w:multiLevelType w:val="multilevel"/>
    <w:tmpl w:val="597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34D5C"/>
    <w:multiLevelType w:val="multilevel"/>
    <w:tmpl w:val="35F4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F47115"/>
    <w:multiLevelType w:val="hybridMultilevel"/>
    <w:tmpl w:val="9AE84E7C"/>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B6A44"/>
    <w:multiLevelType w:val="multilevel"/>
    <w:tmpl w:val="FA7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81EBA"/>
    <w:multiLevelType w:val="multilevel"/>
    <w:tmpl w:val="D8A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B6285"/>
    <w:multiLevelType w:val="multilevel"/>
    <w:tmpl w:val="BF5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92A0D"/>
    <w:multiLevelType w:val="multilevel"/>
    <w:tmpl w:val="03C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D33D5"/>
    <w:multiLevelType w:val="multilevel"/>
    <w:tmpl w:val="438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4"/>
  </w:num>
  <w:num w:numId="7">
    <w:abstractNumId w:val="10"/>
  </w:num>
  <w:num w:numId="8">
    <w:abstractNumId w:val="5"/>
  </w:num>
  <w:num w:numId="9">
    <w:abstractNumId w:val="9"/>
  </w:num>
  <w:num w:numId="10">
    <w:abstractNumId w:val="14"/>
  </w:num>
  <w:num w:numId="11">
    <w:abstractNumId w:val="18"/>
  </w:num>
  <w:num w:numId="12">
    <w:abstractNumId w:val="6"/>
  </w:num>
  <w:num w:numId="13">
    <w:abstractNumId w:val="20"/>
  </w:num>
  <w:num w:numId="14">
    <w:abstractNumId w:val="12"/>
  </w:num>
  <w:num w:numId="15">
    <w:abstractNumId w:val="7"/>
  </w:num>
  <w:num w:numId="16">
    <w:abstractNumId w:val="19"/>
  </w:num>
  <w:num w:numId="17">
    <w:abstractNumId w:val="22"/>
  </w:num>
  <w:num w:numId="18">
    <w:abstractNumId w:val="21"/>
  </w:num>
  <w:num w:numId="19">
    <w:abstractNumId w:val="3"/>
  </w:num>
  <w:num w:numId="20">
    <w:abstractNumId w:val="13"/>
  </w:num>
  <w:num w:numId="21">
    <w:abstractNumId w:val="16"/>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D8"/>
    <w:rsid w:val="00000B35"/>
    <w:rsid w:val="000129EA"/>
    <w:rsid w:val="00032618"/>
    <w:rsid w:val="000378E1"/>
    <w:rsid w:val="00040194"/>
    <w:rsid w:val="000477FB"/>
    <w:rsid w:val="0004787F"/>
    <w:rsid w:val="00047E3C"/>
    <w:rsid w:val="00057B2B"/>
    <w:rsid w:val="00061ACF"/>
    <w:rsid w:val="000653EB"/>
    <w:rsid w:val="00065C25"/>
    <w:rsid w:val="00067795"/>
    <w:rsid w:val="00070098"/>
    <w:rsid w:val="00084E7E"/>
    <w:rsid w:val="00091ED6"/>
    <w:rsid w:val="00092EA2"/>
    <w:rsid w:val="000A7B20"/>
    <w:rsid w:val="000B37BE"/>
    <w:rsid w:val="000B4012"/>
    <w:rsid w:val="000B4842"/>
    <w:rsid w:val="000C7C1C"/>
    <w:rsid w:val="000D0009"/>
    <w:rsid w:val="000D25F5"/>
    <w:rsid w:val="000D390A"/>
    <w:rsid w:val="000E3AE9"/>
    <w:rsid w:val="00100A2C"/>
    <w:rsid w:val="00103A91"/>
    <w:rsid w:val="00105FD1"/>
    <w:rsid w:val="00111E57"/>
    <w:rsid w:val="00114E17"/>
    <w:rsid w:val="00115A9A"/>
    <w:rsid w:val="00117A85"/>
    <w:rsid w:val="00117F8A"/>
    <w:rsid w:val="00121249"/>
    <w:rsid w:val="0012183F"/>
    <w:rsid w:val="001231E8"/>
    <w:rsid w:val="00127B41"/>
    <w:rsid w:val="00127B57"/>
    <w:rsid w:val="0013238B"/>
    <w:rsid w:val="0013465A"/>
    <w:rsid w:val="00150561"/>
    <w:rsid w:val="00155946"/>
    <w:rsid w:val="00160026"/>
    <w:rsid w:val="00163575"/>
    <w:rsid w:val="001639AC"/>
    <w:rsid w:val="00166A8E"/>
    <w:rsid w:val="00167D03"/>
    <w:rsid w:val="0017051C"/>
    <w:rsid w:val="00185E21"/>
    <w:rsid w:val="0019274B"/>
    <w:rsid w:val="001A74E8"/>
    <w:rsid w:val="001B1E83"/>
    <w:rsid w:val="001B2CC0"/>
    <w:rsid w:val="001B3FD1"/>
    <w:rsid w:val="001B5AC3"/>
    <w:rsid w:val="001C221F"/>
    <w:rsid w:val="001C456C"/>
    <w:rsid w:val="001E3AE7"/>
    <w:rsid w:val="001E6C27"/>
    <w:rsid w:val="001F0331"/>
    <w:rsid w:val="001F09FE"/>
    <w:rsid w:val="001F127C"/>
    <w:rsid w:val="001F2802"/>
    <w:rsid w:val="00203248"/>
    <w:rsid w:val="00203360"/>
    <w:rsid w:val="00204E65"/>
    <w:rsid w:val="002165F1"/>
    <w:rsid w:val="00216638"/>
    <w:rsid w:val="00217B7A"/>
    <w:rsid w:val="00217D77"/>
    <w:rsid w:val="0022160D"/>
    <w:rsid w:val="002256AC"/>
    <w:rsid w:val="0023776A"/>
    <w:rsid w:val="00240ACA"/>
    <w:rsid w:val="00265992"/>
    <w:rsid w:val="002721B3"/>
    <w:rsid w:val="002775FC"/>
    <w:rsid w:val="00281125"/>
    <w:rsid w:val="00284E46"/>
    <w:rsid w:val="00285509"/>
    <w:rsid w:val="002919F6"/>
    <w:rsid w:val="00295F3B"/>
    <w:rsid w:val="002970C5"/>
    <w:rsid w:val="0029729C"/>
    <w:rsid w:val="002A07EC"/>
    <w:rsid w:val="002C09C8"/>
    <w:rsid w:val="002C2C78"/>
    <w:rsid w:val="002D037E"/>
    <w:rsid w:val="002D48FA"/>
    <w:rsid w:val="002D66D2"/>
    <w:rsid w:val="002E5A73"/>
    <w:rsid w:val="002E7F66"/>
    <w:rsid w:val="002F2ACE"/>
    <w:rsid w:val="00301461"/>
    <w:rsid w:val="00302BE7"/>
    <w:rsid w:val="003041E4"/>
    <w:rsid w:val="00305764"/>
    <w:rsid w:val="003065DB"/>
    <w:rsid w:val="00322A82"/>
    <w:rsid w:val="003236C4"/>
    <w:rsid w:val="00334FD9"/>
    <w:rsid w:val="00340FC8"/>
    <w:rsid w:val="00344234"/>
    <w:rsid w:val="003451E7"/>
    <w:rsid w:val="003614BE"/>
    <w:rsid w:val="00372A3E"/>
    <w:rsid w:val="00384A3F"/>
    <w:rsid w:val="00385FF7"/>
    <w:rsid w:val="0039341C"/>
    <w:rsid w:val="00395783"/>
    <w:rsid w:val="00397EEE"/>
    <w:rsid w:val="003B5D01"/>
    <w:rsid w:val="003B70C9"/>
    <w:rsid w:val="003C0285"/>
    <w:rsid w:val="003C6693"/>
    <w:rsid w:val="003D13F7"/>
    <w:rsid w:val="003D6EFB"/>
    <w:rsid w:val="003D7FEA"/>
    <w:rsid w:val="003E1B05"/>
    <w:rsid w:val="003E1D4D"/>
    <w:rsid w:val="004007B3"/>
    <w:rsid w:val="00413263"/>
    <w:rsid w:val="00413962"/>
    <w:rsid w:val="00415018"/>
    <w:rsid w:val="00424618"/>
    <w:rsid w:val="00424FC8"/>
    <w:rsid w:val="00432429"/>
    <w:rsid w:val="004350AF"/>
    <w:rsid w:val="0044444E"/>
    <w:rsid w:val="00450492"/>
    <w:rsid w:val="004554BA"/>
    <w:rsid w:val="00455F2E"/>
    <w:rsid w:val="00464AB8"/>
    <w:rsid w:val="0048046F"/>
    <w:rsid w:val="0048286C"/>
    <w:rsid w:val="0048556D"/>
    <w:rsid w:val="0048567E"/>
    <w:rsid w:val="004933EA"/>
    <w:rsid w:val="004A37B2"/>
    <w:rsid w:val="004A6460"/>
    <w:rsid w:val="004B3D1E"/>
    <w:rsid w:val="004C04F0"/>
    <w:rsid w:val="004C3FA0"/>
    <w:rsid w:val="004C4D36"/>
    <w:rsid w:val="004C5834"/>
    <w:rsid w:val="004C6F66"/>
    <w:rsid w:val="004D03E9"/>
    <w:rsid w:val="004E1602"/>
    <w:rsid w:val="004E3785"/>
    <w:rsid w:val="004F5F05"/>
    <w:rsid w:val="00500660"/>
    <w:rsid w:val="00502870"/>
    <w:rsid w:val="005100D1"/>
    <w:rsid w:val="00515EAA"/>
    <w:rsid w:val="00523F1D"/>
    <w:rsid w:val="00545DE3"/>
    <w:rsid w:val="00551043"/>
    <w:rsid w:val="00551A12"/>
    <w:rsid w:val="00555E54"/>
    <w:rsid w:val="005617B5"/>
    <w:rsid w:val="00570D17"/>
    <w:rsid w:val="005754AC"/>
    <w:rsid w:val="00581FBB"/>
    <w:rsid w:val="00591ECF"/>
    <w:rsid w:val="0059655E"/>
    <w:rsid w:val="005A4668"/>
    <w:rsid w:val="005B41E4"/>
    <w:rsid w:val="005B6310"/>
    <w:rsid w:val="005C7A41"/>
    <w:rsid w:val="005D1338"/>
    <w:rsid w:val="005D271B"/>
    <w:rsid w:val="005D4CCA"/>
    <w:rsid w:val="005E0A68"/>
    <w:rsid w:val="005E22ED"/>
    <w:rsid w:val="005E4500"/>
    <w:rsid w:val="005F5FB7"/>
    <w:rsid w:val="005F6904"/>
    <w:rsid w:val="00600284"/>
    <w:rsid w:val="0061336A"/>
    <w:rsid w:val="00613573"/>
    <w:rsid w:val="00620410"/>
    <w:rsid w:val="0063132F"/>
    <w:rsid w:val="006323F9"/>
    <w:rsid w:val="00632D53"/>
    <w:rsid w:val="00633772"/>
    <w:rsid w:val="00633F5F"/>
    <w:rsid w:val="0063773C"/>
    <w:rsid w:val="00641688"/>
    <w:rsid w:val="0064195C"/>
    <w:rsid w:val="006427DA"/>
    <w:rsid w:val="0064373E"/>
    <w:rsid w:val="006451EA"/>
    <w:rsid w:val="006543FC"/>
    <w:rsid w:val="00662403"/>
    <w:rsid w:val="006650C0"/>
    <w:rsid w:val="0067159B"/>
    <w:rsid w:val="00671883"/>
    <w:rsid w:val="006740FA"/>
    <w:rsid w:val="00685D5C"/>
    <w:rsid w:val="00692179"/>
    <w:rsid w:val="006A014E"/>
    <w:rsid w:val="006A7A7E"/>
    <w:rsid w:val="006B0331"/>
    <w:rsid w:val="006B6A46"/>
    <w:rsid w:val="006B7301"/>
    <w:rsid w:val="006C028A"/>
    <w:rsid w:val="006C19F9"/>
    <w:rsid w:val="006C1C2B"/>
    <w:rsid w:val="006D038F"/>
    <w:rsid w:val="006E03B7"/>
    <w:rsid w:val="006E73E9"/>
    <w:rsid w:val="006F4703"/>
    <w:rsid w:val="006F5572"/>
    <w:rsid w:val="006F7225"/>
    <w:rsid w:val="00704B0B"/>
    <w:rsid w:val="007129D0"/>
    <w:rsid w:val="0071354B"/>
    <w:rsid w:val="00713C76"/>
    <w:rsid w:val="007145EB"/>
    <w:rsid w:val="007155D8"/>
    <w:rsid w:val="00720FC4"/>
    <w:rsid w:val="007263C4"/>
    <w:rsid w:val="0073272D"/>
    <w:rsid w:val="0073690F"/>
    <w:rsid w:val="00745374"/>
    <w:rsid w:val="0075047D"/>
    <w:rsid w:val="0075139B"/>
    <w:rsid w:val="00753F12"/>
    <w:rsid w:val="00754A2E"/>
    <w:rsid w:val="007615AD"/>
    <w:rsid w:val="00771B02"/>
    <w:rsid w:val="00773FE4"/>
    <w:rsid w:val="00775ADE"/>
    <w:rsid w:val="00775F16"/>
    <w:rsid w:val="0078267B"/>
    <w:rsid w:val="00790384"/>
    <w:rsid w:val="007907B0"/>
    <w:rsid w:val="00790AF3"/>
    <w:rsid w:val="00797012"/>
    <w:rsid w:val="007A3799"/>
    <w:rsid w:val="007A4721"/>
    <w:rsid w:val="007B3403"/>
    <w:rsid w:val="007B3EE3"/>
    <w:rsid w:val="007C45D3"/>
    <w:rsid w:val="007C7ED6"/>
    <w:rsid w:val="007E2FEE"/>
    <w:rsid w:val="007F28E5"/>
    <w:rsid w:val="008001C1"/>
    <w:rsid w:val="008031D8"/>
    <w:rsid w:val="00807E0B"/>
    <w:rsid w:val="00807FC9"/>
    <w:rsid w:val="00814D5A"/>
    <w:rsid w:val="008156D2"/>
    <w:rsid w:val="00826339"/>
    <w:rsid w:val="00830DE8"/>
    <w:rsid w:val="00837344"/>
    <w:rsid w:val="0084480E"/>
    <w:rsid w:val="00856973"/>
    <w:rsid w:val="00863D92"/>
    <w:rsid w:val="00864F29"/>
    <w:rsid w:val="00867A94"/>
    <w:rsid w:val="00875113"/>
    <w:rsid w:val="00890E28"/>
    <w:rsid w:val="008921C2"/>
    <w:rsid w:val="00893AB7"/>
    <w:rsid w:val="008A1FC5"/>
    <w:rsid w:val="008A22C8"/>
    <w:rsid w:val="008A714D"/>
    <w:rsid w:val="008B017A"/>
    <w:rsid w:val="008B085C"/>
    <w:rsid w:val="008B1EAC"/>
    <w:rsid w:val="008B4F12"/>
    <w:rsid w:val="008C6EC5"/>
    <w:rsid w:val="008D1810"/>
    <w:rsid w:val="008D28C5"/>
    <w:rsid w:val="008D408D"/>
    <w:rsid w:val="008D4BBB"/>
    <w:rsid w:val="008D7C2C"/>
    <w:rsid w:val="008E4E88"/>
    <w:rsid w:val="008F407C"/>
    <w:rsid w:val="00902050"/>
    <w:rsid w:val="0092650E"/>
    <w:rsid w:val="0093041C"/>
    <w:rsid w:val="00940344"/>
    <w:rsid w:val="009442B3"/>
    <w:rsid w:val="00946C15"/>
    <w:rsid w:val="009533BF"/>
    <w:rsid w:val="009566B9"/>
    <w:rsid w:val="00960849"/>
    <w:rsid w:val="00962F98"/>
    <w:rsid w:val="009634F5"/>
    <w:rsid w:val="00986A30"/>
    <w:rsid w:val="00990168"/>
    <w:rsid w:val="009910C7"/>
    <w:rsid w:val="009916A3"/>
    <w:rsid w:val="00991D3A"/>
    <w:rsid w:val="009A0178"/>
    <w:rsid w:val="009A201C"/>
    <w:rsid w:val="009A2AD8"/>
    <w:rsid w:val="009B70B2"/>
    <w:rsid w:val="009B7D64"/>
    <w:rsid w:val="009C0A2A"/>
    <w:rsid w:val="009C2FA6"/>
    <w:rsid w:val="009C7A45"/>
    <w:rsid w:val="009C7A46"/>
    <w:rsid w:val="009D04EB"/>
    <w:rsid w:val="009D2BCD"/>
    <w:rsid w:val="009D4E2F"/>
    <w:rsid w:val="009D628C"/>
    <w:rsid w:val="009D7257"/>
    <w:rsid w:val="009E39A6"/>
    <w:rsid w:val="009E726A"/>
    <w:rsid w:val="009F0B75"/>
    <w:rsid w:val="009F434D"/>
    <w:rsid w:val="00A02B92"/>
    <w:rsid w:val="00A051AF"/>
    <w:rsid w:val="00A055E8"/>
    <w:rsid w:val="00A06E8A"/>
    <w:rsid w:val="00A12CBE"/>
    <w:rsid w:val="00A13359"/>
    <w:rsid w:val="00A13A9F"/>
    <w:rsid w:val="00A17C75"/>
    <w:rsid w:val="00A2135E"/>
    <w:rsid w:val="00A249D6"/>
    <w:rsid w:val="00A24D94"/>
    <w:rsid w:val="00A2576B"/>
    <w:rsid w:val="00A3111A"/>
    <w:rsid w:val="00A31624"/>
    <w:rsid w:val="00A33FE1"/>
    <w:rsid w:val="00A42FF8"/>
    <w:rsid w:val="00A478C2"/>
    <w:rsid w:val="00A515A2"/>
    <w:rsid w:val="00A5530D"/>
    <w:rsid w:val="00A5636D"/>
    <w:rsid w:val="00A56EE2"/>
    <w:rsid w:val="00A61A66"/>
    <w:rsid w:val="00A75D59"/>
    <w:rsid w:val="00A76483"/>
    <w:rsid w:val="00A76B25"/>
    <w:rsid w:val="00A77D0B"/>
    <w:rsid w:val="00A92F0F"/>
    <w:rsid w:val="00A9545D"/>
    <w:rsid w:val="00AA0302"/>
    <w:rsid w:val="00AA15FC"/>
    <w:rsid w:val="00AB74D4"/>
    <w:rsid w:val="00AB74D5"/>
    <w:rsid w:val="00AC163F"/>
    <w:rsid w:val="00AC4E3E"/>
    <w:rsid w:val="00AC687A"/>
    <w:rsid w:val="00AD39C6"/>
    <w:rsid w:val="00AF491E"/>
    <w:rsid w:val="00AF4F2D"/>
    <w:rsid w:val="00AF664F"/>
    <w:rsid w:val="00AF75A5"/>
    <w:rsid w:val="00B11AEF"/>
    <w:rsid w:val="00B15CA4"/>
    <w:rsid w:val="00B16312"/>
    <w:rsid w:val="00B17833"/>
    <w:rsid w:val="00B21597"/>
    <w:rsid w:val="00B22F7C"/>
    <w:rsid w:val="00B254FF"/>
    <w:rsid w:val="00B361F3"/>
    <w:rsid w:val="00B42DD3"/>
    <w:rsid w:val="00B46329"/>
    <w:rsid w:val="00B4694C"/>
    <w:rsid w:val="00B47B6D"/>
    <w:rsid w:val="00B531EC"/>
    <w:rsid w:val="00B566AE"/>
    <w:rsid w:val="00B620ED"/>
    <w:rsid w:val="00B658B8"/>
    <w:rsid w:val="00B76388"/>
    <w:rsid w:val="00B81A9E"/>
    <w:rsid w:val="00B848E4"/>
    <w:rsid w:val="00B91D19"/>
    <w:rsid w:val="00B97EA5"/>
    <w:rsid w:val="00BA2EAF"/>
    <w:rsid w:val="00BA32F6"/>
    <w:rsid w:val="00BA5920"/>
    <w:rsid w:val="00BA6570"/>
    <w:rsid w:val="00BB1702"/>
    <w:rsid w:val="00BB4867"/>
    <w:rsid w:val="00BB491D"/>
    <w:rsid w:val="00BB499A"/>
    <w:rsid w:val="00BB5ECC"/>
    <w:rsid w:val="00BC0E37"/>
    <w:rsid w:val="00BD67E2"/>
    <w:rsid w:val="00BE139B"/>
    <w:rsid w:val="00BE15CF"/>
    <w:rsid w:val="00BF0D9D"/>
    <w:rsid w:val="00BF19CC"/>
    <w:rsid w:val="00BF6BC2"/>
    <w:rsid w:val="00C00F5C"/>
    <w:rsid w:val="00C01577"/>
    <w:rsid w:val="00C03B66"/>
    <w:rsid w:val="00C17138"/>
    <w:rsid w:val="00C238F6"/>
    <w:rsid w:val="00C310A9"/>
    <w:rsid w:val="00C347BC"/>
    <w:rsid w:val="00C34F24"/>
    <w:rsid w:val="00C40292"/>
    <w:rsid w:val="00C41E3D"/>
    <w:rsid w:val="00C44B6A"/>
    <w:rsid w:val="00C4553C"/>
    <w:rsid w:val="00C5361C"/>
    <w:rsid w:val="00C56B89"/>
    <w:rsid w:val="00C5711D"/>
    <w:rsid w:val="00C60193"/>
    <w:rsid w:val="00C63EE0"/>
    <w:rsid w:val="00C8662F"/>
    <w:rsid w:val="00C87348"/>
    <w:rsid w:val="00C876C6"/>
    <w:rsid w:val="00C9274E"/>
    <w:rsid w:val="00C92A06"/>
    <w:rsid w:val="00C93447"/>
    <w:rsid w:val="00C97906"/>
    <w:rsid w:val="00CA1A77"/>
    <w:rsid w:val="00CA1C96"/>
    <w:rsid w:val="00CB4DF3"/>
    <w:rsid w:val="00CB6F0A"/>
    <w:rsid w:val="00CB786D"/>
    <w:rsid w:val="00CC2022"/>
    <w:rsid w:val="00CC331C"/>
    <w:rsid w:val="00CC53FE"/>
    <w:rsid w:val="00CC7F77"/>
    <w:rsid w:val="00CF28DF"/>
    <w:rsid w:val="00CF3302"/>
    <w:rsid w:val="00CF4035"/>
    <w:rsid w:val="00D003D5"/>
    <w:rsid w:val="00D03D46"/>
    <w:rsid w:val="00D0544A"/>
    <w:rsid w:val="00D07969"/>
    <w:rsid w:val="00D13E9E"/>
    <w:rsid w:val="00D173DD"/>
    <w:rsid w:val="00D25C54"/>
    <w:rsid w:val="00D31F96"/>
    <w:rsid w:val="00D3241F"/>
    <w:rsid w:val="00D32D81"/>
    <w:rsid w:val="00D34BFF"/>
    <w:rsid w:val="00D423F1"/>
    <w:rsid w:val="00D75FC5"/>
    <w:rsid w:val="00D833BA"/>
    <w:rsid w:val="00D947AD"/>
    <w:rsid w:val="00D950BB"/>
    <w:rsid w:val="00DA6E8A"/>
    <w:rsid w:val="00DA79EC"/>
    <w:rsid w:val="00DB54D3"/>
    <w:rsid w:val="00DB7AA6"/>
    <w:rsid w:val="00DC0C99"/>
    <w:rsid w:val="00DC1799"/>
    <w:rsid w:val="00DC58E2"/>
    <w:rsid w:val="00DD05B1"/>
    <w:rsid w:val="00DD0FF2"/>
    <w:rsid w:val="00DD7A72"/>
    <w:rsid w:val="00DE621E"/>
    <w:rsid w:val="00DF0F85"/>
    <w:rsid w:val="00DF6F73"/>
    <w:rsid w:val="00E06223"/>
    <w:rsid w:val="00E1339F"/>
    <w:rsid w:val="00E14B35"/>
    <w:rsid w:val="00E2148B"/>
    <w:rsid w:val="00E24C7F"/>
    <w:rsid w:val="00E27250"/>
    <w:rsid w:val="00E31974"/>
    <w:rsid w:val="00E42F69"/>
    <w:rsid w:val="00E458EC"/>
    <w:rsid w:val="00E465FA"/>
    <w:rsid w:val="00E5102A"/>
    <w:rsid w:val="00E51473"/>
    <w:rsid w:val="00E53B89"/>
    <w:rsid w:val="00E6299B"/>
    <w:rsid w:val="00E70E8F"/>
    <w:rsid w:val="00E74B2F"/>
    <w:rsid w:val="00E77A93"/>
    <w:rsid w:val="00E77C66"/>
    <w:rsid w:val="00E80283"/>
    <w:rsid w:val="00E83B27"/>
    <w:rsid w:val="00E85777"/>
    <w:rsid w:val="00E96CF9"/>
    <w:rsid w:val="00E972FF"/>
    <w:rsid w:val="00EA2791"/>
    <w:rsid w:val="00EA7CD9"/>
    <w:rsid w:val="00EB2F17"/>
    <w:rsid w:val="00EB4EF7"/>
    <w:rsid w:val="00EC36DD"/>
    <w:rsid w:val="00EC3CF1"/>
    <w:rsid w:val="00EC4011"/>
    <w:rsid w:val="00ED0DCA"/>
    <w:rsid w:val="00ED449A"/>
    <w:rsid w:val="00ED4FE0"/>
    <w:rsid w:val="00EE140F"/>
    <w:rsid w:val="00EE3A90"/>
    <w:rsid w:val="00EE3E9E"/>
    <w:rsid w:val="00EF0BF9"/>
    <w:rsid w:val="00F02BD8"/>
    <w:rsid w:val="00F03FEA"/>
    <w:rsid w:val="00F0428C"/>
    <w:rsid w:val="00F221FE"/>
    <w:rsid w:val="00F22E43"/>
    <w:rsid w:val="00F27B16"/>
    <w:rsid w:val="00F27F0F"/>
    <w:rsid w:val="00F42E2D"/>
    <w:rsid w:val="00F4689A"/>
    <w:rsid w:val="00F474B2"/>
    <w:rsid w:val="00F553AA"/>
    <w:rsid w:val="00F73AFF"/>
    <w:rsid w:val="00F77A45"/>
    <w:rsid w:val="00F81475"/>
    <w:rsid w:val="00F83866"/>
    <w:rsid w:val="00F91028"/>
    <w:rsid w:val="00F942A2"/>
    <w:rsid w:val="00FA2140"/>
    <w:rsid w:val="00FA5F8C"/>
    <w:rsid w:val="00FC215F"/>
    <w:rsid w:val="00FC3CA4"/>
    <w:rsid w:val="00FC4EF5"/>
    <w:rsid w:val="00FD6BD5"/>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005">
      <w:bodyDiv w:val="1"/>
      <w:marLeft w:val="0"/>
      <w:marRight w:val="0"/>
      <w:marTop w:val="0"/>
      <w:marBottom w:val="0"/>
      <w:divBdr>
        <w:top w:val="none" w:sz="0" w:space="0" w:color="auto"/>
        <w:left w:val="none" w:sz="0" w:space="0" w:color="auto"/>
        <w:bottom w:val="none" w:sz="0" w:space="0" w:color="auto"/>
        <w:right w:val="none" w:sz="0" w:space="0" w:color="auto"/>
      </w:divBdr>
      <w:divsChild>
        <w:div w:id="334646885">
          <w:marLeft w:val="45"/>
          <w:marRight w:val="45"/>
          <w:marTop w:val="45"/>
          <w:marBottom w:val="45"/>
          <w:divBdr>
            <w:top w:val="none" w:sz="0" w:space="0" w:color="auto"/>
            <w:left w:val="none" w:sz="0" w:space="0" w:color="auto"/>
            <w:bottom w:val="none" w:sz="0" w:space="0" w:color="auto"/>
            <w:right w:val="none" w:sz="0" w:space="0" w:color="auto"/>
          </w:divBdr>
          <w:divsChild>
            <w:div w:id="1242131601">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 w:id="1103233261">
          <w:marLeft w:val="45"/>
          <w:marRight w:val="45"/>
          <w:marTop w:val="45"/>
          <w:marBottom w:val="45"/>
          <w:divBdr>
            <w:top w:val="none" w:sz="0" w:space="0" w:color="auto"/>
            <w:left w:val="none" w:sz="0" w:space="0" w:color="auto"/>
            <w:bottom w:val="none" w:sz="0" w:space="0" w:color="auto"/>
            <w:right w:val="none" w:sz="0" w:space="0" w:color="auto"/>
          </w:divBdr>
          <w:divsChild>
            <w:div w:id="894662816">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sChild>
    </w:div>
    <w:div w:id="82843394">
      <w:bodyDiv w:val="1"/>
      <w:marLeft w:val="0"/>
      <w:marRight w:val="0"/>
      <w:marTop w:val="0"/>
      <w:marBottom w:val="0"/>
      <w:divBdr>
        <w:top w:val="none" w:sz="0" w:space="0" w:color="auto"/>
        <w:left w:val="none" w:sz="0" w:space="0" w:color="auto"/>
        <w:bottom w:val="none" w:sz="0" w:space="0" w:color="auto"/>
        <w:right w:val="none" w:sz="0" w:space="0" w:color="auto"/>
      </w:divBdr>
      <w:divsChild>
        <w:div w:id="1965035261">
          <w:marLeft w:val="0"/>
          <w:marRight w:val="0"/>
          <w:marTop w:val="0"/>
          <w:marBottom w:val="0"/>
          <w:divBdr>
            <w:top w:val="none" w:sz="0" w:space="0" w:color="auto"/>
            <w:left w:val="none" w:sz="0" w:space="0" w:color="auto"/>
            <w:bottom w:val="none" w:sz="0" w:space="0" w:color="auto"/>
            <w:right w:val="none" w:sz="0" w:space="0" w:color="auto"/>
          </w:divBdr>
          <w:divsChild>
            <w:div w:id="1632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163">
      <w:bodyDiv w:val="1"/>
      <w:marLeft w:val="0"/>
      <w:marRight w:val="0"/>
      <w:marTop w:val="0"/>
      <w:marBottom w:val="0"/>
      <w:divBdr>
        <w:top w:val="none" w:sz="0" w:space="0" w:color="auto"/>
        <w:left w:val="none" w:sz="0" w:space="0" w:color="auto"/>
        <w:bottom w:val="none" w:sz="0" w:space="0" w:color="auto"/>
        <w:right w:val="none" w:sz="0" w:space="0" w:color="auto"/>
      </w:divBdr>
    </w:div>
    <w:div w:id="389614839">
      <w:bodyDiv w:val="1"/>
      <w:marLeft w:val="0"/>
      <w:marRight w:val="0"/>
      <w:marTop w:val="0"/>
      <w:marBottom w:val="0"/>
      <w:divBdr>
        <w:top w:val="none" w:sz="0" w:space="0" w:color="auto"/>
        <w:left w:val="none" w:sz="0" w:space="0" w:color="auto"/>
        <w:bottom w:val="none" w:sz="0" w:space="0" w:color="auto"/>
        <w:right w:val="none" w:sz="0" w:space="0" w:color="auto"/>
      </w:divBdr>
    </w:div>
    <w:div w:id="691760466">
      <w:bodyDiv w:val="1"/>
      <w:marLeft w:val="0"/>
      <w:marRight w:val="0"/>
      <w:marTop w:val="0"/>
      <w:marBottom w:val="0"/>
      <w:divBdr>
        <w:top w:val="none" w:sz="0" w:space="0" w:color="auto"/>
        <w:left w:val="none" w:sz="0" w:space="0" w:color="auto"/>
        <w:bottom w:val="none" w:sz="0" w:space="0" w:color="auto"/>
        <w:right w:val="none" w:sz="0" w:space="0" w:color="auto"/>
      </w:divBdr>
    </w:div>
    <w:div w:id="704720625">
      <w:bodyDiv w:val="1"/>
      <w:marLeft w:val="0"/>
      <w:marRight w:val="0"/>
      <w:marTop w:val="0"/>
      <w:marBottom w:val="0"/>
      <w:divBdr>
        <w:top w:val="none" w:sz="0" w:space="0" w:color="auto"/>
        <w:left w:val="none" w:sz="0" w:space="0" w:color="auto"/>
        <w:bottom w:val="none" w:sz="0" w:space="0" w:color="auto"/>
        <w:right w:val="none" w:sz="0" w:space="0" w:color="auto"/>
      </w:divBdr>
    </w:div>
    <w:div w:id="1012611337">
      <w:bodyDiv w:val="1"/>
      <w:marLeft w:val="0"/>
      <w:marRight w:val="0"/>
      <w:marTop w:val="0"/>
      <w:marBottom w:val="0"/>
      <w:divBdr>
        <w:top w:val="none" w:sz="0" w:space="0" w:color="auto"/>
        <w:left w:val="none" w:sz="0" w:space="0" w:color="auto"/>
        <w:bottom w:val="none" w:sz="0" w:space="0" w:color="auto"/>
        <w:right w:val="none" w:sz="0" w:space="0" w:color="auto"/>
      </w:divBdr>
    </w:div>
    <w:div w:id="1014527357">
      <w:bodyDiv w:val="1"/>
      <w:marLeft w:val="0"/>
      <w:marRight w:val="0"/>
      <w:marTop w:val="0"/>
      <w:marBottom w:val="0"/>
      <w:divBdr>
        <w:top w:val="none" w:sz="0" w:space="0" w:color="auto"/>
        <w:left w:val="none" w:sz="0" w:space="0" w:color="auto"/>
        <w:bottom w:val="none" w:sz="0" w:space="0" w:color="auto"/>
        <w:right w:val="none" w:sz="0" w:space="0" w:color="auto"/>
      </w:divBdr>
    </w:div>
    <w:div w:id="1531526229">
      <w:bodyDiv w:val="1"/>
      <w:marLeft w:val="0"/>
      <w:marRight w:val="0"/>
      <w:marTop w:val="0"/>
      <w:marBottom w:val="0"/>
      <w:divBdr>
        <w:top w:val="none" w:sz="0" w:space="0" w:color="auto"/>
        <w:left w:val="none" w:sz="0" w:space="0" w:color="auto"/>
        <w:bottom w:val="none" w:sz="0" w:space="0" w:color="auto"/>
        <w:right w:val="none" w:sz="0" w:space="0" w:color="auto"/>
      </w:divBdr>
    </w:div>
    <w:div w:id="1772966187">
      <w:bodyDiv w:val="1"/>
      <w:marLeft w:val="0"/>
      <w:marRight w:val="0"/>
      <w:marTop w:val="0"/>
      <w:marBottom w:val="0"/>
      <w:divBdr>
        <w:top w:val="none" w:sz="0" w:space="0" w:color="auto"/>
        <w:left w:val="none" w:sz="0" w:space="0" w:color="auto"/>
        <w:bottom w:val="none" w:sz="0" w:space="0" w:color="auto"/>
        <w:right w:val="none" w:sz="0" w:space="0" w:color="auto"/>
      </w:divBdr>
    </w:div>
    <w:div w:id="1818107229">
      <w:bodyDiv w:val="1"/>
      <w:marLeft w:val="0"/>
      <w:marRight w:val="0"/>
      <w:marTop w:val="0"/>
      <w:marBottom w:val="0"/>
      <w:divBdr>
        <w:top w:val="none" w:sz="0" w:space="0" w:color="auto"/>
        <w:left w:val="none" w:sz="0" w:space="0" w:color="auto"/>
        <w:bottom w:val="none" w:sz="0" w:space="0" w:color="auto"/>
        <w:right w:val="none" w:sz="0" w:space="0" w:color="auto"/>
      </w:divBdr>
    </w:div>
    <w:div w:id="1839926851">
      <w:bodyDiv w:val="1"/>
      <w:marLeft w:val="0"/>
      <w:marRight w:val="0"/>
      <w:marTop w:val="0"/>
      <w:marBottom w:val="0"/>
      <w:divBdr>
        <w:top w:val="none" w:sz="0" w:space="0" w:color="auto"/>
        <w:left w:val="none" w:sz="0" w:space="0" w:color="auto"/>
        <w:bottom w:val="none" w:sz="0" w:space="0" w:color="auto"/>
        <w:right w:val="none" w:sz="0" w:space="0" w:color="auto"/>
      </w:divBdr>
    </w:div>
    <w:div w:id="2048412044">
      <w:bodyDiv w:val="1"/>
      <w:marLeft w:val="0"/>
      <w:marRight w:val="0"/>
      <w:marTop w:val="0"/>
      <w:marBottom w:val="0"/>
      <w:divBdr>
        <w:top w:val="none" w:sz="0" w:space="0" w:color="auto"/>
        <w:left w:val="none" w:sz="0" w:space="0" w:color="auto"/>
        <w:bottom w:val="none" w:sz="0" w:space="0" w:color="auto"/>
        <w:right w:val="none" w:sz="0" w:space="0" w:color="auto"/>
      </w:divBdr>
    </w:div>
    <w:div w:id="20519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Гумфак</dc:creator>
  <cp:lastModifiedBy>admin16</cp:lastModifiedBy>
  <cp:revision>2</cp:revision>
  <cp:lastPrinted>2020-04-08T06:46:00Z</cp:lastPrinted>
  <dcterms:created xsi:type="dcterms:W3CDTF">2020-04-28T08:39:00Z</dcterms:created>
  <dcterms:modified xsi:type="dcterms:W3CDTF">2020-04-28T08:39:00Z</dcterms:modified>
</cp:coreProperties>
</file>