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DA" w:rsidRPr="001C1828" w:rsidRDefault="00A134DA" w:rsidP="001C1828">
      <w:pPr>
        <w:spacing w:before="300" w:after="300" w:line="360" w:lineRule="auto"/>
        <w:ind w:left="-851" w:right="225" w:firstLine="142"/>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2"/>
      <w:r w:rsidRPr="001C1828">
        <w:rPr>
          <w:rFonts w:ascii="Times New Roman" w:eastAsia="Times New Roman" w:hAnsi="Times New Roman" w:cs="Times New Roman"/>
          <w:b/>
          <w:bCs/>
          <w:color w:val="000000"/>
          <w:kern w:val="36"/>
          <w:sz w:val="28"/>
          <w:szCs w:val="28"/>
          <w:shd w:val="clear" w:color="auto" w:fill="FFFFFF"/>
          <w:lang w:eastAsia="ru-RU"/>
        </w:rPr>
        <w:t>Лекция 2. Понятие налогового права как отрасли права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Под термином «налоговое право» понимаются: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отрасль законодательства;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&gt; </w:t>
      </w:r>
      <w:proofErr w:type="spellStart"/>
      <w:r w:rsidRPr="001C1828">
        <w:rPr>
          <w:color w:val="000000"/>
          <w:sz w:val="28"/>
          <w:szCs w:val="28"/>
        </w:rPr>
        <w:t>подотрасль</w:t>
      </w:r>
      <w:proofErr w:type="spellEnd"/>
      <w:r w:rsidRPr="001C1828">
        <w:rPr>
          <w:color w:val="000000"/>
          <w:sz w:val="28"/>
          <w:szCs w:val="28"/>
        </w:rPr>
        <w:t xml:space="preserve"> науки финансового права;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учебная дисциплина.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право – </w:t>
      </w:r>
      <w:r w:rsidRPr="001C1828">
        <w:rPr>
          <w:color w:val="000000"/>
          <w:sz w:val="28"/>
          <w:szCs w:val="28"/>
        </w:rPr>
        <w:t xml:space="preserve">совокупность финансово-правовых норм, регулирующих общественные отношения по установлению и взиманию налогов в бюджетную систему и в предусмотренных случаях – внебюджетные государственные и </w:t>
      </w:r>
      <w:proofErr w:type="gramStart"/>
      <w:r w:rsidRPr="001C1828">
        <w:rPr>
          <w:color w:val="000000"/>
          <w:sz w:val="28"/>
          <w:szCs w:val="28"/>
        </w:rPr>
        <w:t>муниципальные целевые фонды с организаций</w:t>
      </w:r>
      <w:proofErr w:type="gramEnd"/>
      <w:r w:rsidRPr="001C1828">
        <w:rPr>
          <w:color w:val="000000"/>
          <w:sz w:val="28"/>
          <w:szCs w:val="28"/>
        </w:rPr>
        <w:t xml:space="preserve"> и физических лиц.</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Налоговое право представляет собой </w:t>
      </w:r>
      <w:proofErr w:type="spellStart"/>
      <w:r w:rsidRPr="001C1828">
        <w:rPr>
          <w:color w:val="000000"/>
          <w:sz w:val="28"/>
          <w:szCs w:val="28"/>
        </w:rPr>
        <w:t>подотрасль</w:t>
      </w:r>
      <w:proofErr w:type="spellEnd"/>
      <w:r w:rsidRPr="001C1828">
        <w:rPr>
          <w:color w:val="000000"/>
          <w:sz w:val="28"/>
          <w:szCs w:val="28"/>
        </w:rPr>
        <w:t xml:space="preserve"> финансового права, однако раннее оно выделялось как финансово-правовой институт. Дискуссия о самостоятельном характере налогового права в значительной степени была обусловлена осуществленной в 1998 г. кодификацией налогового законодательства (принятие части первой НК РФ).</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В период неразвитости рыночных отношений и законодательного приоритета публичной собственности налоговое право рассматривалось не более чем составной частью в правовом институте государственных доходов. Переход к рыночным формам хозяйствования, признание равенства всех форм собственности и, следовательно, возникшая необходимость законодательной модели сочетания частных и публичных интересов обусловили принятие значительного числа нормативных правовых актов, регулирующих налоговый механизм. В результате активного развития налогового права оно стало характеризоваться по отношению к финансовому праву РФ как его </w:t>
      </w:r>
      <w:proofErr w:type="spellStart"/>
      <w:r w:rsidRPr="001C1828">
        <w:rPr>
          <w:color w:val="000000"/>
          <w:sz w:val="28"/>
          <w:szCs w:val="28"/>
        </w:rPr>
        <w:t>подотрасль</w:t>
      </w:r>
      <w:proofErr w:type="spellEnd"/>
      <w:r w:rsidRPr="001C1828">
        <w:rPr>
          <w:color w:val="000000"/>
          <w:sz w:val="28"/>
          <w:szCs w:val="28"/>
        </w:rPr>
        <w:t>.</w:t>
      </w:r>
    </w:p>
    <w:p w:rsidR="00A134DA" w:rsidRPr="001C1828" w:rsidRDefault="00A134DA" w:rsidP="001C1828">
      <w:pPr>
        <w:pStyle w:val="a3"/>
        <w:shd w:val="clear" w:color="auto" w:fill="FFFFFF"/>
        <w:spacing w:line="360" w:lineRule="auto"/>
        <w:ind w:left="-851" w:firstLine="142"/>
        <w:jc w:val="both"/>
        <w:rPr>
          <w:i/>
          <w:color w:val="000000"/>
          <w:sz w:val="28"/>
          <w:szCs w:val="28"/>
        </w:rPr>
      </w:pPr>
      <w:r w:rsidRPr="001C1828">
        <w:rPr>
          <w:i/>
          <w:color w:val="000000"/>
          <w:sz w:val="28"/>
          <w:szCs w:val="28"/>
        </w:rPr>
        <w:t xml:space="preserve">Порядок взимания налогов и сборов урегулированы налоговым законодательством, которое представляет собой совокупность нормативно-правовых актов, </w:t>
      </w:r>
      <w:r w:rsidRPr="001C1828">
        <w:rPr>
          <w:i/>
          <w:color w:val="000000"/>
          <w:sz w:val="28"/>
          <w:szCs w:val="28"/>
        </w:rPr>
        <w:lastRenderedPageBreak/>
        <w:t>регулирующих общественные отношения в сфере налогообложения, возникающие по поводу установления, введения, взимания налогов и сборов в бюджетную систему, осуществления налогового контроля и привлечения к налоговой ответственности.</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Налоговое право является составной частью единой системы российского права, но вместе с тем оно имеет свой предмет правового регулирования и особое сочетание методов воздействия на общественные отношения, что свидетельствует об относительной самостоятельности налогово-правовых норм.</w:t>
      </w:r>
    </w:p>
    <w:p w:rsidR="00A134DA" w:rsidRPr="001C1828" w:rsidRDefault="00A134DA" w:rsidP="001C1828">
      <w:pPr>
        <w:pStyle w:val="1"/>
        <w:spacing w:before="300" w:beforeAutospacing="0" w:after="300" w:afterAutospacing="0" w:line="360" w:lineRule="auto"/>
        <w:ind w:left="-851" w:right="225" w:firstLine="142"/>
        <w:jc w:val="both"/>
        <w:rPr>
          <w:color w:val="000000"/>
          <w:sz w:val="28"/>
          <w:szCs w:val="28"/>
          <w:shd w:val="clear" w:color="auto" w:fill="FFFFFF"/>
        </w:rPr>
      </w:pPr>
      <w:bookmarkStart w:id="1" w:name="metkadoc3"/>
      <w:r w:rsidRPr="001C1828">
        <w:rPr>
          <w:color w:val="000000"/>
          <w:sz w:val="28"/>
          <w:szCs w:val="28"/>
          <w:shd w:val="clear" w:color="auto" w:fill="FFFFFF"/>
        </w:rPr>
        <w:t>2.2. Предмет и метод налогового права</w:t>
      </w:r>
    </w:p>
    <w:bookmarkEnd w:id="1"/>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Все отрасли или </w:t>
      </w:r>
      <w:proofErr w:type="spellStart"/>
      <w:r w:rsidRPr="001C1828">
        <w:rPr>
          <w:color w:val="000000"/>
          <w:sz w:val="28"/>
          <w:szCs w:val="28"/>
        </w:rPr>
        <w:t>подотрасли</w:t>
      </w:r>
      <w:proofErr w:type="spellEnd"/>
      <w:r w:rsidRPr="001C1828">
        <w:rPr>
          <w:color w:val="000000"/>
          <w:sz w:val="28"/>
          <w:szCs w:val="28"/>
        </w:rPr>
        <w:t xml:space="preserve"> права различаются, прежде всего, по предмету правового регулирования. При этом предмет отвечает на вопрос – что изучает данная отрасль?</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Предмет налогового права</w:t>
      </w:r>
      <w:r w:rsidRPr="001C1828">
        <w:rPr>
          <w:color w:val="000000"/>
          <w:sz w:val="28"/>
          <w:szCs w:val="28"/>
        </w:rPr>
        <w:t> – совокупность однородных имущественных и связанных с ними неимущественных общественных отношений, складывающихся между государством, налогоплательщиками и иными лицами по поводу установления, введения и взимания налогов в доход государства (муниципального образования), осуществления налогового контроля и привлечения к ответственности за совершение налогового правонарушения.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В сферу налогового правового регулирования входят общественные отношения: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w:t>
      </w:r>
      <w:r w:rsidRPr="001C1828">
        <w:rPr>
          <w:b/>
          <w:bCs/>
          <w:color w:val="000000"/>
          <w:sz w:val="28"/>
          <w:szCs w:val="28"/>
        </w:rPr>
        <w:t>по установлению, введению и взиманию налогов и сборов;</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w:t>
      </w:r>
      <w:r w:rsidRPr="001C1828">
        <w:rPr>
          <w:b/>
          <w:bCs/>
          <w:color w:val="000000"/>
          <w:sz w:val="28"/>
          <w:szCs w:val="28"/>
        </w:rPr>
        <w:t>возникающие в процессе исполнения соответствующими лицами своих налоговых обязательств;</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w:t>
      </w:r>
      <w:r w:rsidRPr="001C1828">
        <w:rPr>
          <w:b/>
          <w:bCs/>
          <w:color w:val="000000"/>
          <w:sz w:val="28"/>
          <w:szCs w:val="28"/>
        </w:rPr>
        <w:t>возникающие в процессе налогового контроля и контроля за соблюдением налогового законодательства;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w:t>
      </w:r>
      <w:r w:rsidRPr="001C1828">
        <w:rPr>
          <w:b/>
          <w:bCs/>
          <w:color w:val="000000"/>
          <w:sz w:val="28"/>
          <w:szCs w:val="28"/>
        </w:rPr>
        <w:t>возникающие в процессе обжалования актов налоговых органов, действий (бездействия) их должностных лиц;</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lastRenderedPageBreak/>
        <w:t>&gt; </w:t>
      </w:r>
      <w:r w:rsidRPr="001C1828">
        <w:rPr>
          <w:b/>
          <w:bCs/>
          <w:color w:val="000000"/>
          <w:sz w:val="28"/>
          <w:szCs w:val="28"/>
        </w:rPr>
        <w:t>возникающие в процессе защиты прав и законных интересов участников налоговых правоотношений;</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&gt; </w:t>
      </w:r>
      <w:r w:rsidRPr="001C1828">
        <w:rPr>
          <w:b/>
          <w:bCs/>
          <w:color w:val="000000"/>
          <w:sz w:val="28"/>
          <w:szCs w:val="28"/>
        </w:rPr>
        <w:t>возникающие в процессе привлечения к ответственности за совершение налоговых правонарушений.</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Метод налогового права – </w:t>
      </w:r>
      <w:r w:rsidRPr="001C1828">
        <w:rPr>
          <w:color w:val="000000"/>
          <w:sz w:val="28"/>
          <w:szCs w:val="28"/>
        </w:rPr>
        <w:t xml:space="preserve">совокупность юридических приемов, средств, способов, отражающих своеобразие воздействия данной </w:t>
      </w:r>
      <w:proofErr w:type="spellStart"/>
      <w:r w:rsidRPr="001C1828">
        <w:rPr>
          <w:color w:val="000000"/>
          <w:sz w:val="28"/>
          <w:szCs w:val="28"/>
        </w:rPr>
        <w:t>подотрасли</w:t>
      </w:r>
      <w:proofErr w:type="spellEnd"/>
      <w:r w:rsidRPr="001C1828">
        <w:rPr>
          <w:color w:val="000000"/>
          <w:sz w:val="28"/>
          <w:szCs w:val="28"/>
        </w:rPr>
        <w:t xml:space="preserve"> права на отношения налоговой сферы.</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Основные </w:t>
      </w:r>
      <w:r w:rsidRPr="001C1828">
        <w:rPr>
          <w:b/>
          <w:bCs/>
          <w:color w:val="000000"/>
          <w:sz w:val="28"/>
          <w:szCs w:val="28"/>
        </w:rPr>
        <w:t>методы налогового права</w:t>
      </w:r>
      <w:r w:rsidRPr="001C1828">
        <w:rPr>
          <w:color w:val="000000"/>
          <w:sz w:val="28"/>
          <w:szCs w:val="28"/>
        </w:rPr>
        <w:t>:</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w:t>
      </w:r>
      <w:r w:rsidRPr="001C1828">
        <w:rPr>
          <w:b/>
          <w:bCs/>
          <w:color w:val="000000"/>
          <w:sz w:val="28"/>
          <w:szCs w:val="28"/>
        </w:rPr>
        <w:t>метод властных предписаний</w:t>
      </w:r>
      <w:r w:rsidRPr="001C1828">
        <w:rPr>
          <w:color w:val="000000"/>
          <w:sz w:val="28"/>
          <w:szCs w:val="28"/>
        </w:rPr>
        <w:t> (императивный, командно-волевой) – способ правового воздействия, где государство самостоятельно устанавливает процедуры установления, введения и уплаты налогов, а также материальное содержание этих отношений; также определяется мера должного поведения и обеспечивается принудительное воздействие в случае неисполнения установленных предписаний.</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w:t>
      </w:r>
      <w:r w:rsidRPr="001C1828">
        <w:rPr>
          <w:b/>
          <w:bCs/>
          <w:color w:val="000000"/>
          <w:sz w:val="28"/>
          <w:szCs w:val="28"/>
        </w:rPr>
        <w:t>метод рекомендаций и согласования</w:t>
      </w:r>
      <w:r w:rsidRPr="001C1828">
        <w:rPr>
          <w:color w:val="000000"/>
          <w:sz w:val="28"/>
          <w:szCs w:val="28"/>
        </w:rPr>
        <w:t> – метод, который используется при принятии разъяснений, устанавливает функции и образцы рекомендаций, а также при определении направленности совместной работы фискальных органов, частично при определении предметов ведения по отдельным вопросам налогообложения (ст. 72 Конституции РФ).</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w:t>
      </w:r>
      <w:r w:rsidRPr="001C1828">
        <w:rPr>
          <w:b/>
          <w:bCs/>
          <w:color w:val="000000"/>
          <w:sz w:val="28"/>
          <w:szCs w:val="28"/>
        </w:rPr>
        <w:t>диспозитивный метод</w:t>
      </w:r>
      <w:r w:rsidRPr="001C1828">
        <w:rPr>
          <w:color w:val="000000"/>
          <w:sz w:val="28"/>
          <w:szCs w:val="28"/>
        </w:rPr>
        <w:t> – способ правового воздействия, связанный равноправием сторон, координацией, основанной на дозволениях.</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Данный метод используется крайне редко и выражается, например, в предоставлении частному субъекту возможности формировать свою налого</w:t>
      </w:r>
      <w:r w:rsidR="00516EB3" w:rsidRPr="001C1828">
        <w:rPr>
          <w:color w:val="000000"/>
          <w:sz w:val="28"/>
          <w:szCs w:val="28"/>
        </w:rPr>
        <w:t>вую политику, получении отсрочки</w:t>
      </w:r>
      <w:r w:rsidRPr="001C1828">
        <w:rPr>
          <w:color w:val="000000"/>
          <w:sz w:val="28"/>
          <w:szCs w:val="28"/>
        </w:rPr>
        <w:t xml:space="preserve"> исполнения налоговых обязанностей, заключении договоров на получение налогового кредита или инвестиционного налогового кредита, проведении зачета задолженности государства перед поставщиками товаров </w:t>
      </w:r>
      <w:r w:rsidRPr="001C1828">
        <w:rPr>
          <w:color w:val="000000"/>
          <w:sz w:val="28"/>
          <w:szCs w:val="28"/>
        </w:rPr>
        <w:lastRenderedPageBreak/>
        <w:t>(работ, услуг) посредством зачета встречного требования по исполнению налоговой обязанности.</w:t>
      </w:r>
    </w:p>
    <w:p w:rsidR="00A134DA" w:rsidRPr="001C1828" w:rsidRDefault="00A134DA" w:rsidP="001C1828">
      <w:pPr>
        <w:pStyle w:val="1"/>
        <w:spacing w:before="300" w:beforeAutospacing="0" w:after="300" w:afterAutospacing="0" w:line="360" w:lineRule="auto"/>
        <w:ind w:left="-851" w:right="225" w:firstLine="142"/>
        <w:jc w:val="both"/>
        <w:rPr>
          <w:color w:val="000000"/>
          <w:sz w:val="28"/>
          <w:szCs w:val="28"/>
          <w:shd w:val="clear" w:color="auto" w:fill="FFFFFF"/>
        </w:rPr>
      </w:pPr>
      <w:bookmarkStart w:id="2" w:name="metkadoc4"/>
      <w:r w:rsidRPr="001C1828">
        <w:rPr>
          <w:color w:val="000000"/>
          <w:sz w:val="28"/>
          <w:szCs w:val="28"/>
          <w:shd w:val="clear" w:color="auto" w:fill="FFFFFF"/>
        </w:rPr>
        <w:t>2.3. Система налогового права</w:t>
      </w:r>
    </w:p>
    <w:bookmarkEnd w:id="2"/>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Все налогово-правовые нормы согласованы между собой, в результате чего образуется их взаимозависимая целостная система с определенным внутренним строением.</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Системе налогового права свойственны такие </w:t>
      </w:r>
      <w:r w:rsidRPr="001C1828">
        <w:rPr>
          <w:b/>
          <w:bCs/>
          <w:color w:val="000000"/>
          <w:sz w:val="28"/>
          <w:szCs w:val="28"/>
        </w:rPr>
        <w:t>характерные черты</w:t>
      </w:r>
      <w:r w:rsidRPr="001C1828">
        <w:rPr>
          <w:color w:val="000000"/>
          <w:sz w:val="28"/>
          <w:szCs w:val="28"/>
        </w:rPr>
        <w:t>, как единство, различие, взаимодействие, способность к делению, объективность, согласованность, материальная обусловленность, процессуальная реализация.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По общему правилу налоговое право делится на две части – </w:t>
      </w:r>
      <w:r w:rsidRPr="001C1828">
        <w:rPr>
          <w:b/>
          <w:bCs/>
          <w:color w:val="000000"/>
          <w:sz w:val="28"/>
          <w:szCs w:val="28"/>
        </w:rPr>
        <w:t>Общую и Особенную.</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В </w:t>
      </w:r>
      <w:r w:rsidRPr="001C1828">
        <w:rPr>
          <w:b/>
          <w:bCs/>
          <w:color w:val="000000"/>
          <w:sz w:val="28"/>
          <w:szCs w:val="28"/>
        </w:rPr>
        <w:t>Общую часть </w:t>
      </w:r>
      <w:r w:rsidRPr="001C1828">
        <w:rPr>
          <w:color w:val="000000"/>
          <w:sz w:val="28"/>
          <w:szCs w:val="28"/>
        </w:rPr>
        <w:t>включаются нормы, которые устанавливают основные принципы, правовые формы и методы правового регулирования налоговых отношений, состав системы налогов и сборов, общие условия установления и введения налогов и сборов, права и обязанности субъектов налоговых правоотношений, систему государственных органов, осуществляющих налоговую деятельность, разграничение их полномочий в данной сфере, основы налогово-правового статуса других субъектов, формы и методы налогового контроля, а также способы и порядок защиты прав налогоплательщиков.</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Институты Общей части налогового права содержат те нормы права, действие которых распространяется на все регулируемые этой </w:t>
      </w:r>
      <w:proofErr w:type="spellStart"/>
      <w:r w:rsidRPr="001C1828">
        <w:rPr>
          <w:color w:val="000000"/>
          <w:sz w:val="28"/>
          <w:szCs w:val="28"/>
        </w:rPr>
        <w:t>подотраслью</w:t>
      </w:r>
      <w:proofErr w:type="spellEnd"/>
      <w:r w:rsidRPr="001C1828">
        <w:rPr>
          <w:color w:val="000000"/>
          <w:sz w:val="28"/>
          <w:szCs w:val="28"/>
        </w:rPr>
        <w:t xml:space="preserve"> правоотношения. Положения Общей части налогового права </w:t>
      </w:r>
      <w:r w:rsidRPr="001C1828">
        <w:rPr>
          <w:b/>
          <w:color w:val="000000"/>
          <w:sz w:val="28"/>
          <w:szCs w:val="28"/>
          <w:u w:val="single"/>
        </w:rPr>
        <w:t xml:space="preserve">конкретизируются </w:t>
      </w:r>
      <w:r w:rsidRPr="001C1828">
        <w:rPr>
          <w:color w:val="000000"/>
          <w:sz w:val="28"/>
          <w:szCs w:val="28"/>
        </w:rPr>
        <w:t>в институтах его Особенной части.</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color w:val="000000"/>
          <w:sz w:val="28"/>
          <w:szCs w:val="28"/>
        </w:rPr>
        <w:t xml:space="preserve">Особенную часть налогового права образуют нормы, которые детально регламентируют определенные виды налогов и сборов, порядок их исчисления и уплаты, а также специальные налоговые режимы (единый сельскохозяйственный налог, упрощенная система налогообложения, единый налог на вмененный доход для </w:t>
      </w:r>
      <w:r w:rsidRPr="001C1828">
        <w:rPr>
          <w:color w:val="000000"/>
          <w:sz w:val="28"/>
          <w:szCs w:val="28"/>
        </w:rPr>
        <w:lastRenderedPageBreak/>
        <w:t>отдельных видов деятельности, налогообложение при выполнении соглашений о разделе продукции).</w:t>
      </w:r>
    </w:p>
    <w:p w:rsidR="00A134DA" w:rsidRPr="001C1828" w:rsidRDefault="00A134DA" w:rsidP="001C1828">
      <w:pPr>
        <w:pStyle w:val="1"/>
        <w:spacing w:before="300" w:beforeAutospacing="0" w:after="300" w:afterAutospacing="0" w:line="360" w:lineRule="auto"/>
        <w:ind w:left="-851" w:right="225" w:firstLine="142"/>
        <w:jc w:val="both"/>
        <w:rPr>
          <w:color w:val="000000"/>
          <w:sz w:val="28"/>
          <w:szCs w:val="28"/>
          <w:shd w:val="clear" w:color="auto" w:fill="FFFFFF"/>
        </w:rPr>
      </w:pPr>
      <w:bookmarkStart w:id="3" w:name="metkadoc5"/>
      <w:r w:rsidRPr="001C1828">
        <w:rPr>
          <w:color w:val="000000"/>
          <w:sz w:val="28"/>
          <w:szCs w:val="28"/>
          <w:shd w:val="clear" w:color="auto" w:fill="FFFFFF"/>
        </w:rPr>
        <w:t>2.4. Налоговое право в системе российского права</w:t>
      </w:r>
    </w:p>
    <w:bookmarkEnd w:id="3"/>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право и конституционное право.</w:t>
      </w:r>
      <w:r w:rsidRPr="001C1828">
        <w:rPr>
          <w:color w:val="000000"/>
          <w:sz w:val="28"/>
          <w:szCs w:val="28"/>
        </w:rPr>
        <w:t> Конституционное право занимает ведущее место в правовой системе, поскольку содержит основополагающие нормы и принципы других отраслей права. Конституционно-правовое регулирование налоговых отношений предопределено их публичной значимостью и государственно-властной природой. Нормы Конституции РФ не только закрепили всеобщую обязанность уплачивать законно установленные налоги и сборы (ст. 57), но и предусмотрели систему правовых гарантий, обеспечивающих компромисс между соблюдением прав налогоплательщиков и фискальных интересов государства.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право и финансовое право. </w:t>
      </w:r>
      <w:r w:rsidRPr="001C1828">
        <w:rPr>
          <w:color w:val="000000"/>
          <w:sz w:val="28"/>
          <w:szCs w:val="28"/>
        </w:rPr>
        <w:t>О том, что налоговое право входит в систему финансового права свидетельствует частичное совпадение границ предмета правового регулирования. Предметом финансового права являются общественные отношения, складывающиеся в процессе образования, распределения и использования государственных (муниципальных) денежных средств. Предмет налогового права составляют общественные отношения, направленные на аккумулирование государственных (муниципальных) денежных фондов и, таким образом, являющиеся частью предмета финансового права. Весомым аргументом служит конституционно установленный принцип единства финансовой политики. Налоговая политика является частью финансовой, которая имеет по отношению к первой определяющее значение.</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право и бюджетное право.</w:t>
      </w:r>
      <w:r w:rsidRPr="001C1828">
        <w:rPr>
          <w:color w:val="000000"/>
          <w:sz w:val="28"/>
          <w:szCs w:val="28"/>
        </w:rPr>
        <w:t xml:space="preserve"> Являясь частью системы финансового права, налоговое право взаимодействует с иными финансово-правовыми общностями. Так, образование бюджетов всех уровней и государственных внебюджетных фондов в большей степени осуществляется на основе норм налогового права, регулирующих государственные доходы. Отношения же, складывающиеся в процессе установления и взимания налогов, проведение налогового контроля и т. п., не составляют предмета </w:t>
      </w:r>
      <w:r w:rsidRPr="001C1828">
        <w:rPr>
          <w:color w:val="000000"/>
          <w:sz w:val="28"/>
          <w:szCs w:val="28"/>
        </w:rPr>
        <w:lastRenderedPageBreak/>
        <w:t>бюджетного права. Значит, предмет налогового права только частично совпадает с границами бюджетно-правового регулирования.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и гражданское право. </w:t>
      </w:r>
      <w:r w:rsidRPr="001C1828">
        <w:rPr>
          <w:color w:val="000000"/>
          <w:sz w:val="28"/>
          <w:szCs w:val="28"/>
        </w:rPr>
        <w:t>Налоговые правоотношения, будучи формой ограничения права частной собственности, тесно связаны с гражданско-правовым регулированием. Однако установлен приоритет налоговых норм над гражданскими – согласно ст. 2 ГК РФ не относятся к числу гражданских имущественные отношения, регулируемые налоговым, финансовым и административным законодательством. Налоговые отношения возникают на основе фактических имущественных отношений, правовой формой которых выступают гражданские отношения.</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и административное право. </w:t>
      </w:r>
      <w:r w:rsidRPr="001C1828">
        <w:rPr>
          <w:color w:val="000000"/>
          <w:sz w:val="28"/>
          <w:szCs w:val="28"/>
        </w:rPr>
        <w:t>В механизм правового регулирования налоговых отношений включены органы исполнительной власти, реализующие государственно-властные полномочия. Административное право определяет правовой статус государственного аппарата.</w:t>
      </w:r>
    </w:p>
    <w:p w:rsidR="00A134DA" w:rsidRPr="001C1828" w:rsidRDefault="00A134D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Налоговое и уголовное право. </w:t>
      </w:r>
      <w:r w:rsidRPr="001C1828">
        <w:rPr>
          <w:color w:val="000000"/>
          <w:sz w:val="28"/>
          <w:szCs w:val="28"/>
        </w:rPr>
        <w:t>С одной стороны, одним из объектов уголовно-правовой охраны являются фискальные интересы государства. С другой – квалификация некоторых преступлений невозможна без обращения к нормам налогового права.</w:t>
      </w:r>
    </w:p>
    <w:p w:rsidR="00516EB3" w:rsidRPr="001C1828" w:rsidRDefault="00516EB3" w:rsidP="001C1828">
      <w:pPr>
        <w:pStyle w:val="1"/>
        <w:spacing w:before="300" w:beforeAutospacing="0" w:after="300" w:afterAutospacing="0" w:line="360" w:lineRule="auto"/>
        <w:ind w:left="-851" w:right="225" w:firstLine="142"/>
        <w:jc w:val="both"/>
        <w:rPr>
          <w:color w:val="000000"/>
          <w:sz w:val="28"/>
          <w:szCs w:val="28"/>
          <w:shd w:val="clear" w:color="auto" w:fill="FFFFFF"/>
        </w:rPr>
      </w:pPr>
      <w:bookmarkStart w:id="4" w:name="metkadoc1"/>
      <w:r w:rsidRPr="001C1828">
        <w:rPr>
          <w:color w:val="000000"/>
          <w:sz w:val="28"/>
          <w:szCs w:val="28"/>
          <w:shd w:val="clear" w:color="auto" w:fill="FFFFFF"/>
        </w:rPr>
        <w:t>Источники налогового права</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b/>
          <w:bCs/>
          <w:color w:val="000000"/>
          <w:sz w:val="28"/>
          <w:szCs w:val="28"/>
        </w:rPr>
        <w:t>Источники налогового права</w:t>
      </w:r>
      <w:r w:rsidRPr="001C1828">
        <w:rPr>
          <w:color w:val="000000"/>
          <w:sz w:val="28"/>
          <w:szCs w:val="28"/>
        </w:rPr>
        <w:t> – это внешние формы его выражения, т. е. правовые акты представительных и исполнительных органов государственной власти и органов местного самоуправления, содержащие нормы, которые регулируют вопросы установления, введения и взимания налогов и сборов, отношения в сфере налогового контроля и отношения по привлечению к ответственности за налоговое правонарушение.</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t>Налоговый Кодекс РФ к источникам налогового права относит:</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t>1. международные договоры Российской Федерации,</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lastRenderedPageBreak/>
        <w:t>2. Налоговый Кодекс РФ,</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t>3. федеральные законы и законы Российской Федерации,</w:t>
      </w:r>
    </w:p>
    <w:p w:rsidR="005F22AA"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t>4. законы и иные нормативные акты законодательных органов субъектов РФ</w:t>
      </w:r>
    </w:p>
    <w:p w:rsidR="00516EB3" w:rsidRPr="001C1828" w:rsidRDefault="005F22AA" w:rsidP="001C1828">
      <w:pPr>
        <w:pStyle w:val="a3"/>
        <w:shd w:val="clear" w:color="auto" w:fill="FFFFFF"/>
        <w:spacing w:line="360" w:lineRule="auto"/>
        <w:ind w:left="-851" w:firstLine="142"/>
        <w:jc w:val="both"/>
        <w:rPr>
          <w:color w:val="000000"/>
          <w:sz w:val="28"/>
          <w:szCs w:val="28"/>
        </w:rPr>
      </w:pPr>
      <w:r w:rsidRPr="001C1828">
        <w:rPr>
          <w:color w:val="000000"/>
          <w:sz w:val="28"/>
          <w:szCs w:val="28"/>
        </w:rPr>
        <w:t>5. нормативные правовые акты представительных органов местного самоуправления.</w:t>
      </w:r>
      <w:bookmarkStart w:id="5" w:name="_GoBack"/>
      <w:bookmarkEnd w:id="5"/>
    </w:p>
    <w:bookmarkEnd w:id="4"/>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НК РФ – первый опыт кодификации налогового законодательства в Российской Федерации. Цель кодификации состоит в том, чтобы систематизировать и законодательно закрепить органичность, взаимосвязанность и взаимозависимость правовых норм, устранив произвол в их понимании и применении.</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НК РФ занимает ведущее место в системе источников налогового права и обладает наибольшей юридической силой в иерархии законодательства о налогах и сборах. Все иные федеральные, региональные и муниципальные нормативные акты этой сферы могут быть приняты только при условии соответствия нормам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НК РФ определяет правовую базу регулирования всех стадий налоговых отношений. В нем:</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 закреплен исчерпывающий перечень налогов и сборов, взимаемых на территории Российской Федерации, принципы установления, введения в действие и прекращения действия ранее введенных налогов и сборов субъектов РФ и местных налогов и сборов;</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 определены основания возникновения, изменения, прекращения и порядок исполнения обязанностей по уплате налогов;</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 установлен порядок проведения налогового контроля, виды налоговых проверок, сроки их проведения и периодичность, оформление результатов проверок;</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lastRenderedPageBreak/>
        <w:t>– закреплены общие положения об ответственности за совершение налоговых правонарушений, а также установлены виды налоговых правонарушений и ответственность за их совершение;</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 регламентирован порядок обжалования актов налоговых органов и действий или бездействия их должностных лиц.</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Налоговое законодательство оговаривает </w:t>
      </w:r>
      <w:r w:rsidRPr="001C1828">
        <w:rPr>
          <w:b/>
          <w:bCs/>
          <w:color w:val="000000"/>
          <w:sz w:val="28"/>
          <w:szCs w:val="28"/>
        </w:rPr>
        <w:t>условия</w:t>
      </w:r>
      <w:r w:rsidRPr="001C1828">
        <w:rPr>
          <w:color w:val="000000"/>
          <w:sz w:val="28"/>
          <w:szCs w:val="28"/>
        </w:rPr>
        <w:t>, при наличии которых нормативный правовой акт о налогах и сборах не может применяться либо признается недействительным. Нормативный правовой акт о налогах и сборах признается не соответствующим НК РФ, если такой акт:</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1) издан органом, не имеющим в соответствии с НК РФ права издавать подобного рода акты, либо издан с нарушением установленного порядка;</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2) отменяет или ограничивает права налогоплательщиков, плательщиков сборов, налоговых агентов, их представителей либо полномочия налоговых органов, таможенных органов, органов государственных внебюджетных фондов;</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3) изменяет содержание обязанностей участников отношений, регулируемых законодательством о налогах и сборах, иных лиц, обязанности которых установлены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4) запрещает действия налогоплательщиков, плательщиков сборов, налоговых агентов, их представителей, разрешенные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5) запрещает действия налоговых органов, таможенных органов, органов государственных внебюджетных фондов, их должностных лиц, разрешенные или предписанные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6) разрешает или допускает действия, запрещенные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lastRenderedPageBreak/>
        <w:t>7) изменяет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НК РФ;</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8) изменяет содержание понятий и терминов, определенных НК РФ, либо использует эти категории в ином значении;</w:t>
      </w:r>
    </w:p>
    <w:p w:rsidR="005F22AA" w:rsidRPr="001C1828" w:rsidRDefault="005F22AA" w:rsidP="001C1828">
      <w:pPr>
        <w:pStyle w:val="a3"/>
        <w:shd w:val="clear" w:color="auto" w:fill="FFFFFF"/>
        <w:spacing w:line="360" w:lineRule="auto"/>
        <w:ind w:left="-993" w:firstLine="142"/>
        <w:jc w:val="both"/>
        <w:rPr>
          <w:color w:val="000000"/>
          <w:sz w:val="28"/>
          <w:szCs w:val="28"/>
        </w:rPr>
      </w:pPr>
      <w:r w:rsidRPr="001C1828">
        <w:rPr>
          <w:color w:val="000000"/>
          <w:sz w:val="28"/>
          <w:szCs w:val="28"/>
        </w:rPr>
        <w:t>9) иным образом противоречит общим началам и (или) буквальному смыслу конкретных положений НК РФ.</w:t>
      </w:r>
    </w:p>
    <w:p w:rsidR="00A134DA" w:rsidRPr="00A134DA" w:rsidRDefault="00A134DA" w:rsidP="005F22AA">
      <w:pPr>
        <w:spacing w:before="300" w:after="300" w:line="240" w:lineRule="auto"/>
        <w:ind w:left="-993" w:right="225"/>
        <w:outlineLvl w:val="0"/>
        <w:rPr>
          <w:rFonts w:ascii="Verdana" w:eastAsia="Times New Roman" w:hAnsi="Verdana" w:cs="Times New Roman"/>
          <w:b/>
          <w:bCs/>
          <w:color w:val="000000"/>
          <w:kern w:val="36"/>
          <w:sz w:val="24"/>
          <w:szCs w:val="39"/>
          <w:shd w:val="clear" w:color="auto" w:fill="FFFFFF"/>
          <w:lang w:eastAsia="ru-RU"/>
        </w:rPr>
      </w:pPr>
    </w:p>
    <w:bookmarkEnd w:id="0"/>
    <w:p w:rsidR="00EC28E7" w:rsidRDefault="00EC28E7"/>
    <w:sectPr w:rsidR="00EC2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4"/>
    <w:rsid w:val="001C1828"/>
    <w:rsid w:val="00516EB3"/>
    <w:rsid w:val="005F22AA"/>
    <w:rsid w:val="00A134DA"/>
    <w:rsid w:val="00C042D4"/>
    <w:rsid w:val="00E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8789"/>
  <w15:chartTrackingRefBased/>
  <w15:docId w15:val="{A22AAA2C-0E52-4B58-8525-9F4C7AB2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134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4D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134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355">
      <w:bodyDiv w:val="1"/>
      <w:marLeft w:val="0"/>
      <w:marRight w:val="0"/>
      <w:marTop w:val="0"/>
      <w:marBottom w:val="0"/>
      <w:divBdr>
        <w:top w:val="none" w:sz="0" w:space="0" w:color="auto"/>
        <w:left w:val="none" w:sz="0" w:space="0" w:color="auto"/>
        <w:bottom w:val="none" w:sz="0" w:space="0" w:color="auto"/>
        <w:right w:val="none" w:sz="0" w:space="0" w:color="auto"/>
      </w:divBdr>
    </w:div>
    <w:div w:id="237442775">
      <w:bodyDiv w:val="1"/>
      <w:marLeft w:val="0"/>
      <w:marRight w:val="0"/>
      <w:marTop w:val="0"/>
      <w:marBottom w:val="0"/>
      <w:divBdr>
        <w:top w:val="none" w:sz="0" w:space="0" w:color="auto"/>
        <w:left w:val="none" w:sz="0" w:space="0" w:color="auto"/>
        <w:bottom w:val="none" w:sz="0" w:space="0" w:color="auto"/>
        <w:right w:val="none" w:sz="0" w:space="0" w:color="auto"/>
      </w:divBdr>
    </w:div>
    <w:div w:id="550961846">
      <w:bodyDiv w:val="1"/>
      <w:marLeft w:val="0"/>
      <w:marRight w:val="0"/>
      <w:marTop w:val="0"/>
      <w:marBottom w:val="0"/>
      <w:divBdr>
        <w:top w:val="none" w:sz="0" w:space="0" w:color="auto"/>
        <w:left w:val="none" w:sz="0" w:space="0" w:color="auto"/>
        <w:bottom w:val="none" w:sz="0" w:space="0" w:color="auto"/>
        <w:right w:val="none" w:sz="0" w:space="0" w:color="auto"/>
      </w:divBdr>
    </w:div>
    <w:div w:id="590285376">
      <w:bodyDiv w:val="1"/>
      <w:marLeft w:val="0"/>
      <w:marRight w:val="0"/>
      <w:marTop w:val="0"/>
      <w:marBottom w:val="0"/>
      <w:divBdr>
        <w:top w:val="none" w:sz="0" w:space="0" w:color="auto"/>
        <w:left w:val="none" w:sz="0" w:space="0" w:color="auto"/>
        <w:bottom w:val="none" w:sz="0" w:space="0" w:color="auto"/>
        <w:right w:val="none" w:sz="0" w:space="0" w:color="auto"/>
      </w:divBdr>
    </w:div>
    <w:div w:id="663357195">
      <w:bodyDiv w:val="1"/>
      <w:marLeft w:val="0"/>
      <w:marRight w:val="0"/>
      <w:marTop w:val="0"/>
      <w:marBottom w:val="0"/>
      <w:divBdr>
        <w:top w:val="none" w:sz="0" w:space="0" w:color="auto"/>
        <w:left w:val="none" w:sz="0" w:space="0" w:color="auto"/>
        <w:bottom w:val="none" w:sz="0" w:space="0" w:color="auto"/>
        <w:right w:val="none" w:sz="0" w:space="0" w:color="auto"/>
      </w:divBdr>
    </w:div>
    <w:div w:id="15054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Вердишь Андрей</cp:lastModifiedBy>
  <cp:revision>3</cp:revision>
  <dcterms:created xsi:type="dcterms:W3CDTF">2019-04-02T00:01:00Z</dcterms:created>
  <dcterms:modified xsi:type="dcterms:W3CDTF">2020-05-25T10:15:00Z</dcterms:modified>
</cp:coreProperties>
</file>