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A2" w:rsidRPr="004F1F84" w:rsidRDefault="00270AA2" w:rsidP="004F1F84">
      <w:pPr>
        <w:spacing w:before="300" w:after="300" w:line="360" w:lineRule="auto"/>
        <w:ind w:left="-1276" w:right="-426"/>
        <w:jc w:val="both"/>
        <w:outlineLvl w:val="0"/>
        <w:rPr>
          <w:rFonts w:ascii="Times New Roman" w:eastAsia="Times New Roman" w:hAnsi="Times New Roman" w:cs="Times New Roman"/>
          <w:b/>
          <w:bCs/>
          <w:color w:val="000000"/>
          <w:kern w:val="36"/>
          <w:sz w:val="28"/>
          <w:szCs w:val="28"/>
          <w:shd w:val="clear" w:color="auto" w:fill="FFFFFF"/>
          <w:lang w:eastAsia="ru-RU"/>
        </w:rPr>
      </w:pPr>
      <w:bookmarkStart w:id="0" w:name="metkadoc2"/>
      <w:r w:rsidRPr="004F1F84">
        <w:rPr>
          <w:rFonts w:ascii="Times New Roman" w:eastAsia="Times New Roman" w:hAnsi="Times New Roman" w:cs="Times New Roman"/>
          <w:b/>
          <w:bCs/>
          <w:color w:val="000000"/>
          <w:kern w:val="36"/>
          <w:sz w:val="28"/>
          <w:szCs w:val="28"/>
          <w:shd w:val="clear" w:color="auto" w:fill="FFFFFF"/>
          <w:lang w:eastAsia="ru-RU"/>
        </w:rPr>
        <w:t>Упрощенная система налогообложения</w:t>
      </w:r>
    </w:p>
    <w:bookmarkEnd w:id="0"/>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Упрощенная система налогообложения организациями и индивидуальными предпринимателями применяется наряду с общей системой налогообложения предусмотренной законодательством РФ о налогах и сборах.</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Переход к упрощенной системе налогообложения или возврат к общему режиму налогообложения осуществляется организациями и индивидуальными предпринимателями добровольно в порядке, предусмотренном гл. 26,2 НК РФ.</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Налогоплательщиками признаются организации и индивидуальные предприниматели, перешедшие на упрощенную систему налогообложения и применяющие ее в порядке, установленном настоящей главой.</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Организация имеет право перейти на упрощенную систему налогообложения, если по итогам девяти месяцев того года, в котором организация подает заявление о переходе на упрощенную систему налогообложения, доход от реализации, определяемый в соответствии со ст. 249 НК РФ, не превысил 11 млн. рублей (без учета налога на добавленную стоимость).</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Не вправе применять упрощенную систему налогообложения:</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1) организации, имеющие филиалы и (или) представительства;</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2) банки;</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3) страховщики;</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4) негосударственные пенсионные фонды;</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5) инвестиционные фонды;</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6) профессиональные участники рынка ценных бумаг;</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lastRenderedPageBreak/>
        <w:t>7) ломбарды;</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8) организации и индивидуальные предприниматели, занимающиеся производством подакцизных товаров, а также добычей и реализацией полезных ископаемых, за исключением общераспространенных полезных ископаемых;</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9) организации и индивидуальные предприниматели, занимающиеся игорным бизнесом;</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10) нотариусы, занимающиеся частной практикой;</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11) организации и индивидуальные предприниматели, являющиеся участниками соглашений о разделе продукции;</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 xml:space="preserve">12) организации и индивидуальные предприниматели, переведенные на систему налогообложения для сельскохозяйственных товаропроизводителей (единый сельскохозяйственный налог) в соответствии </w:t>
      </w:r>
      <w:proofErr w:type="spellStart"/>
      <w:r w:rsidRPr="004F1F84">
        <w:rPr>
          <w:rFonts w:ascii="Times New Roman" w:eastAsia="Times New Roman" w:hAnsi="Times New Roman" w:cs="Times New Roman"/>
          <w:color w:val="000000"/>
          <w:sz w:val="28"/>
          <w:szCs w:val="28"/>
          <w:lang w:eastAsia="ru-RU"/>
        </w:rPr>
        <w:t>сгл</w:t>
      </w:r>
      <w:proofErr w:type="spellEnd"/>
      <w:r w:rsidRPr="004F1F84">
        <w:rPr>
          <w:rFonts w:ascii="Times New Roman" w:eastAsia="Times New Roman" w:hAnsi="Times New Roman" w:cs="Times New Roman"/>
          <w:color w:val="000000"/>
          <w:sz w:val="28"/>
          <w:szCs w:val="28"/>
          <w:lang w:eastAsia="ru-RU"/>
        </w:rPr>
        <w:t>. 26.1 НК РФ;</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14) организации, в которых доля непосредственного участия других организаций составляет более 25 процентов. Данное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15) организации и индивидуальные предприниматели, средняя численность работников которых за налоговый (отчетный) период,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16) организации, у которых остаточная стоимость основных средств и нематериальных активов, определяемая в соответствии с законодательством РФ о бухгалтерском учете, превышает 100 млн. рублей.</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 xml:space="preserve">Организации и индивидуальные предприниматели, изъявившие желание перейти на упрощенную систему налогообложения, подают в период с 1 октября по 30 ноября года, </w:t>
      </w:r>
      <w:r w:rsidRPr="004F1F84">
        <w:rPr>
          <w:rFonts w:ascii="Times New Roman" w:eastAsia="Times New Roman" w:hAnsi="Times New Roman" w:cs="Times New Roman"/>
          <w:color w:val="000000"/>
          <w:sz w:val="28"/>
          <w:szCs w:val="28"/>
          <w:lang w:eastAsia="ru-RU"/>
        </w:rPr>
        <w:lastRenderedPageBreak/>
        <w:t>предшествующего году, начиная с которого налогоплательщики переходят на упрощенную систему налогообложения, в налоговый орган по месту своего нахождения (месту жительства) заявление. При этом организации в заявлении о переходе на упрощенную систему налогообложения сообщают о размере доходов за девять месяцев текущего года.</w:t>
      </w:r>
    </w:p>
    <w:p w:rsidR="00270AA2" w:rsidRPr="004F1F84" w:rsidRDefault="00270AA2" w:rsidP="004F1F84">
      <w:pPr>
        <w:spacing w:before="300" w:after="300" w:line="360" w:lineRule="auto"/>
        <w:ind w:left="-1276" w:right="-426"/>
        <w:jc w:val="both"/>
        <w:outlineLvl w:val="0"/>
        <w:rPr>
          <w:rFonts w:ascii="Times New Roman" w:eastAsia="Times New Roman" w:hAnsi="Times New Roman" w:cs="Times New Roman"/>
          <w:b/>
          <w:bCs/>
          <w:color w:val="000000"/>
          <w:kern w:val="36"/>
          <w:sz w:val="28"/>
          <w:szCs w:val="28"/>
          <w:shd w:val="clear" w:color="auto" w:fill="FFFFFF"/>
          <w:lang w:eastAsia="ru-RU"/>
        </w:rPr>
      </w:pPr>
      <w:bookmarkStart w:id="1" w:name="metkadoc3"/>
      <w:r w:rsidRPr="004F1F84">
        <w:rPr>
          <w:rFonts w:ascii="Times New Roman" w:eastAsia="Times New Roman" w:hAnsi="Times New Roman" w:cs="Times New Roman"/>
          <w:b/>
          <w:bCs/>
          <w:color w:val="000000"/>
          <w:kern w:val="36"/>
          <w:sz w:val="28"/>
          <w:szCs w:val="28"/>
          <w:shd w:val="clear" w:color="auto" w:fill="FFFFFF"/>
          <w:lang w:eastAsia="ru-RU"/>
        </w:rPr>
        <w:t>Система налогообложения в виде единого налога на вмененный доход для отдельных видов деятельности</w:t>
      </w:r>
    </w:p>
    <w:bookmarkEnd w:id="1"/>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Единый налог на вмененный доход может применяться по решению субъекта Российской Федерации в отношении следующих видов деятельности, определенных пунктом 2 статьи 346.26 НК РФ:</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1) оказания бытовых услуг;</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2) оказания ветеринарных услуг;</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3) оказания услуг по ремонту, техническому обслуживанию и мойке автотранспортных средств;</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4) розничной торговли, осуществляемой через магазины и павильоны с площадью торгового зала по каждому объекту организации торговли не более 150 квадратных метров, палатки, лотки и другие объекты организации торговли, в том числе не имеющие стационарной торговой площади;</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5) оказания услуг общественного питания, осуществляемых при использовании зала площадью не более 150 квадратных метров;</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6) оказания автотранспортных услуг по перевозке пассажиров и грузов, осуществляемых организациями и индивидуальными предпринимателями, эксплуатирующими не более 20 транспортных средств.</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proofErr w:type="gramStart"/>
      <w:r w:rsidRPr="004F1F84">
        <w:rPr>
          <w:rFonts w:ascii="Times New Roman" w:eastAsia="Times New Roman" w:hAnsi="Times New Roman" w:cs="Times New Roman"/>
          <w:color w:val="000000"/>
          <w:sz w:val="28"/>
          <w:szCs w:val="28"/>
          <w:lang w:eastAsia="ru-RU"/>
        </w:rPr>
        <w:t xml:space="preserve">Кроме того, организации, являющиеся налогоплательщиками единого налога на вмененный доход, не признаются налогоплательщиками налога на добавленную стоимость в отношении операций, признаваемых объектами налогообложения в соответствии с главой </w:t>
      </w:r>
      <w:r w:rsidRPr="004F1F84">
        <w:rPr>
          <w:rFonts w:ascii="Times New Roman" w:eastAsia="Times New Roman" w:hAnsi="Times New Roman" w:cs="Times New Roman"/>
          <w:color w:val="000000"/>
          <w:sz w:val="28"/>
          <w:szCs w:val="28"/>
          <w:lang w:eastAsia="ru-RU"/>
        </w:rPr>
        <w:lastRenderedPageBreak/>
        <w:t>21 НК РФ, осуществляемых в рамках деятельности, облагаемой единым налогом на вмененный доход, за исключением налога на добавленную стоимость, подлежащего уплате в соответствии с НК РФ при ввозе товаров на таможенную территорию Российской</w:t>
      </w:r>
      <w:proofErr w:type="gramEnd"/>
      <w:r w:rsidRPr="004F1F84">
        <w:rPr>
          <w:rFonts w:ascii="Times New Roman" w:eastAsia="Times New Roman" w:hAnsi="Times New Roman" w:cs="Times New Roman"/>
          <w:color w:val="000000"/>
          <w:sz w:val="28"/>
          <w:szCs w:val="28"/>
          <w:lang w:eastAsia="ru-RU"/>
        </w:rPr>
        <w:t xml:space="preserve"> Федерации.</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Исчисление и уплата иных налогов и сборов осуществляются в соответствии с общим режимом налогообложения.</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proofErr w:type="gramStart"/>
      <w:r w:rsidRPr="004F1F84">
        <w:rPr>
          <w:rFonts w:ascii="Times New Roman" w:eastAsia="Times New Roman" w:hAnsi="Times New Roman" w:cs="Times New Roman"/>
          <w:color w:val="000000"/>
          <w:sz w:val="28"/>
          <w:szCs w:val="28"/>
          <w:lang w:eastAsia="ru-RU"/>
        </w:rPr>
        <w:t>Подразделения Банка России, осуществляющие уплату единого налога на вмененный доход уплачивают</w:t>
      </w:r>
      <w:proofErr w:type="gramEnd"/>
      <w:r w:rsidRPr="004F1F84">
        <w:rPr>
          <w:rFonts w:ascii="Times New Roman" w:eastAsia="Times New Roman" w:hAnsi="Times New Roman" w:cs="Times New Roman"/>
          <w:color w:val="000000"/>
          <w:sz w:val="28"/>
          <w:szCs w:val="28"/>
          <w:lang w:eastAsia="ru-RU"/>
        </w:rPr>
        <w:t xml:space="preserve"> страховые взносы на обязательное пенсионное страхование, а также страховые взносы на обязательное социальное страхование от несчастных случаев на производстве и профессиональных заболеваний в общеустановленном порядке в соответствии с законодательством Российской Федерации.</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proofErr w:type="gramStart"/>
      <w:r w:rsidRPr="004F1F84">
        <w:rPr>
          <w:rFonts w:ascii="Times New Roman" w:eastAsia="Times New Roman" w:hAnsi="Times New Roman" w:cs="Times New Roman"/>
          <w:color w:val="000000"/>
          <w:sz w:val="28"/>
          <w:szCs w:val="28"/>
          <w:lang w:eastAsia="ru-RU"/>
        </w:rPr>
        <w:t>Подразделения Банка России, осуществляющие наряду с деятельностью, подлежащей налогообложению единым налогом на вмененный доход, иные виды деятельности, обязаны вести раздельный учет имущества, обязательств и хозяйственных операций в отношении деятельности, подлежащей налогообложению единым налогом на вмененный доход, и деятельности, в отношении которой налоги и сборы уплачиваются в соответствии с общим режимом налогообложения.</w:t>
      </w:r>
      <w:proofErr w:type="gramEnd"/>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1. Виды деятельности, в отношении которых Банк России признается (не признается) налогоплательщиком единого налога на вмененный доход.</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proofErr w:type="gramStart"/>
      <w:r w:rsidRPr="004F1F84">
        <w:rPr>
          <w:rFonts w:ascii="Times New Roman" w:eastAsia="Times New Roman" w:hAnsi="Times New Roman" w:cs="Times New Roman"/>
          <w:color w:val="000000"/>
          <w:sz w:val="28"/>
          <w:szCs w:val="28"/>
          <w:lang w:eastAsia="ru-RU"/>
        </w:rPr>
        <w:t>Банк России (включая все его обособленные подразделения) не подлежит переводу на уплату единого налога на вмененный доход в отношении видов деятельности, определенных пунктами 5 и 6 части 2 ст. 346.26 НК РФ, в связи с тем, что по данным видам деятельности в Банке России превышены установленные частью 2 ст. 346.26 НК РФ ограничения, а именно:</w:t>
      </w:r>
      <w:proofErr w:type="gramEnd"/>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 оказания услуг общественного питания;</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 автотранспортных услуг по перевозке пассажиров и грузов.</w:t>
      </w:r>
    </w:p>
    <w:p w:rsidR="00270AA2" w:rsidRPr="004F1F84" w:rsidRDefault="00270AA2" w:rsidP="004F1F84">
      <w:pPr>
        <w:spacing w:before="300" w:after="300" w:line="360" w:lineRule="auto"/>
        <w:ind w:left="-1276" w:right="-426"/>
        <w:jc w:val="both"/>
        <w:outlineLvl w:val="0"/>
        <w:rPr>
          <w:rFonts w:ascii="Times New Roman" w:eastAsia="Times New Roman" w:hAnsi="Times New Roman" w:cs="Times New Roman"/>
          <w:b/>
          <w:bCs/>
          <w:color w:val="000000"/>
          <w:kern w:val="36"/>
          <w:sz w:val="28"/>
          <w:szCs w:val="28"/>
          <w:shd w:val="clear" w:color="auto" w:fill="FFFFFF"/>
          <w:lang w:eastAsia="ru-RU"/>
        </w:rPr>
      </w:pPr>
      <w:bookmarkStart w:id="2" w:name="metkadoc4"/>
      <w:r w:rsidRPr="004F1F84">
        <w:rPr>
          <w:rFonts w:ascii="Times New Roman" w:eastAsia="Times New Roman" w:hAnsi="Times New Roman" w:cs="Times New Roman"/>
          <w:b/>
          <w:bCs/>
          <w:color w:val="000000"/>
          <w:kern w:val="36"/>
          <w:sz w:val="28"/>
          <w:szCs w:val="28"/>
          <w:shd w:val="clear" w:color="auto" w:fill="FFFFFF"/>
          <w:lang w:eastAsia="ru-RU"/>
        </w:rPr>
        <w:lastRenderedPageBreak/>
        <w:t>Система налогообложения для сельскохозяйственных товаропроизводителей (единый сельскохозяйственный налог)</w:t>
      </w:r>
    </w:p>
    <w:bookmarkEnd w:id="2"/>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Система налогообложения для сельскохозяйственных товаропроизводителей (единый сельскохозяйственный налог) (далее в настоящей главе – единый сельскохозяйственный налог) устанавливается НК РФ и применяется наряду с общим режимом налогообложения.</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Переход на уплату единого сельскохозяйственного налога или возврат к общему режиму налогообложения осуществляется организациями и индивидуальными предпринимателями добровольно в порядке, предусмотренном гл. 26.1 НК РФ.</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Налогоплательщиками единого сельскохозяйственного налога признаются организации и индивидуальные предприниматели, перешедшие на уплату единого сельскохозяйственного налога в порядке, установленном НК РФ.</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 xml:space="preserve">Сельскохозяйственные товаропроизводители, изъявившие желание перейти на уплату единого сельскохозяйственного налога, подают в период с 20 октября по 20 декабря года, предшествующего году, начиная с которого сельскохозяйственные товаропроизводители переходят на уплату единого сельскохозяйственного налога, в налоговый орган по своему местонахождению (месту жительства) заявление. </w:t>
      </w:r>
      <w:proofErr w:type="gramStart"/>
      <w:r w:rsidRPr="004F1F84">
        <w:rPr>
          <w:rFonts w:ascii="Times New Roman" w:eastAsia="Times New Roman" w:hAnsi="Times New Roman" w:cs="Times New Roman"/>
          <w:color w:val="000000"/>
          <w:sz w:val="28"/>
          <w:szCs w:val="28"/>
          <w:lang w:eastAsia="ru-RU"/>
        </w:rPr>
        <w:t>При этом сельскохозяйственные товаропроизводители в заявлении о переходе на уплату единого сельскохозяйственного налога указывают данные о доле дохода от реализации произведенной ими сельскохозяйственной продукции и (или) выращенной ими рыбы, включая продукцию первичной переработки, произведенную ими из сельскохозяйственного сырья собственного производства и (или) выращенной ими рыбы, в общем доходе от реализации товаров (работ, услуг), полученном ими по итогам девяти месяцев того</w:t>
      </w:r>
      <w:proofErr w:type="gramEnd"/>
      <w:r w:rsidRPr="004F1F84">
        <w:rPr>
          <w:rFonts w:ascii="Times New Roman" w:eastAsia="Times New Roman" w:hAnsi="Times New Roman" w:cs="Times New Roman"/>
          <w:color w:val="000000"/>
          <w:sz w:val="28"/>
          <w:szCs w:val="28"/>
          <w:lang w:eastAsia="ru-RU"/>
        </w:rPr>
        <w:t xml:space="preserve"> года, в котором организация или индивидуальный предприниматель подают заявление о переходе на уплату единого сельскохозяйственного налога.</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 xml:space="preserve">Вновь созданные организации и физические лица, зарегистрированные в качестве индивидуальных предпринимателей, изъявившие желание перейти на уплату единого сельскохозяйственного налога, вправе подать заявление о переходе на уплату единого </w:t>
      </w:r>
      <w:r w:rsidRPr="004F1F84">
        <w:rPr>
          <w:rFonts w:ascii="Times New Roman" w:eastAsia="Times New Roman" w:hAnsi="Times New Roman" w:cs="Times New Roman"/>
          <w:color w:val="000000"/>
          <w:sz w:val="28"/>
          <w:szCs w:val="28"/>
          <w:lang w:eastAsia="ru-RU"/>
        </w:rPr>
        <w:lastRenderedPageBreak/>
        <w:t xml:space="preserve">сельскохозяйственного налога одновременно с подачей заявления о постановке на учет в налоговый орган. В этом случае организации и индивидуальные предприниматели вправе перейти </w:t>
      </w:r>
      <w:proofErr w:type="gramStart"/>
      <w:r w:rsidRPr="004F1F84">
        <w:rPr>
          <w:rFonts w:ascii="Times New Roman" w:eastAsia="Times New Roman" w:hAnsi="Times New Roman" w:cs="Times New Roman"/>
          <w:color w:val="000000"/>
          <w:sz w:val="28"/>
          <w:szCs w:val="28"/>
          <w:lang w:eastAsia="ru-RU"/>
        </w:rPr>
        <w:t>на уплату единого сельскохозяйственного налога в текущем календарном году с момента постановки на учет в налоговом органе</w:t>
      </w:r>
      <w:proofErr w:type="gramEnd"/>
      <w:r w:rsidRPr="004F1F84">
        <w:rPr>
          <w:rFonts w:ascii="Times New Roman" w:eastAsia="Times New Roman" w:hAnsi="Times New Roman" w:cs="Times New Roman"/>
          <w:color w:val="000000"/>
          <w:sz w:val="28"/>
          <w:szCs w:val="28"/>
          <w:lang w:eastAsia="ru-RU"/>
        </w:rPr>
        <w:t>.</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Налогоплательщики, перешедшие на уплату единого сельскохозяйственного налога, не вправе до окончания налогового периода перейти на общий режим налогообложения.</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Объектом налогообложения признаются доходы, уменьшенные на величину расходов.</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Доходы и расходы, выраженные в иностранной валюте, учитываются в совокупности с доходами и расходами, выраженными в рублях. При этом доходы и расходы, выраженные в иностранной валюте, пересчитываются в рубли по официальному курсу Центрального банка РФ, установленному соответственно на дату получения доходов и (или) дату осуществления расходов.</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Доходы, полученные в натуральной форме, определяются исходя из цен, определяемых в порядке, аналогичном порядку, предусмотренному ст. 40 НК РФ, без включения в них налога на добавленную стоимость.</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Налоговым периодом признается календарный год.</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Отчетным периодом признается полугодие.</w:t>
      </w:r>
    </w:p>
    <w:p w:rsidR="00270AA2" w:rsidRPr="004F1F84" w:rsidRDefault="00270AA2" w:rsidP="004F1F84">
      <w:pPr>
        <w:shd w:val="clear" w:color="auto" w:fill="FFFFFF"/>
        <w:spacing w:before="100" w:beforeAutospacing="1" w:after="100" w:afterAutospacing="1" w:line="360" w:lineRule="auto"/>
        <w:ind w:left="-1276" w:right="-426"/>
        <w:jc w:val="both"/>
        <w:rPr>
          <w:rFonts w:ascii="Times New Roman" w:eastAsia="Times New Roman" w:hAnsi="Times New Roman" w:cs="Times New Roman"/>
          <w:color w:val="000000"/>
          <w:sz w:val="28"/>
          <w:szCs w:val="28"/>
          <w:lang w:eastAsia="ru-RU"/>
        </w:rPr>
      </w:pPr>
      <w:r w:rsidRPr="004F1F84">
        <w:rPr>
          <w:rFonts w:ascii="Times New Roman" w:eastAsia="Times New Roman" w:hAnsi="Times New Roman" w:cs="Times New Roman"/>
          <w:color w:val="000000"/>
          <w:sz w:val="28"/>
          <w:szCs w:val="28"/>
          <w:lang w:eastAsia="ru-RU"/>
        </w:rPr>
        <w:t>Налоговая ставка устанавливается в размере 6 процентов.</w:t>
      </w:r>
    </w:p>
    <w:p w:rsidR="00EC28E7" w:rsidRPr="00270AA2" w:rsidRDefault="00EC28E7" w:rsidP="00270AA2">
      <w:pPr>
        <w:ind w:left="-851"/>
      </w:pPr>
      <w:bookmarkStart w:id="3" w:name="_GoBack"/>
      <w:bookmarkEnd w:id="3"/>
    </w:p>
    <w:sectPr w:rsidR="00EC28E7" w:rsidRPr="00270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A2"/>
    <w:rsid w:val="00270AA2"/>
    <w:rsid w:val="004F1F84"/>
    <w:rsid w:val="00EC2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0A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A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70A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0A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A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70A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2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Вердишь Андрей</dc:creator>
  <cp:keywords/>
  <dc:description/>
  <cp:lastModifiedBy>User</cp:lastModifiedBy>
  <cp:revision>2</cp:revision>
  <dcterms:created xsi:type="dcterms:W3CDTF">2019-04-17T00:00:00Z</dcterms:created>
  <dcterms:modified xsi:type="dcterms:W3CDTF">2020-06-09T08:19:00Z</dcterms:modified>
</cp:coreProperties>
</file>